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65BE403" w14:textId="77777777" w:rsidR="00FB6E17" w:rsidRPr="005711BC" w:rsidRDefault="00FB6E17" w:rsidP="00FB6E17">
      <w:pPr>
        <w:spacing w:after="74" w:line="259" w:lineRule="auto"/>
        <w:ind w:right="1"/>
        <w:jc w:val="center"/>
        <w:rPr>
          <w:rFonts w:ascii="Lato" w:hAnsi="Lato" w:cs="Arial"/>
          <w:bCs/>
          <w:color w:val="auto"/>
        </w:rPr>
      </w:pPr>
      <w:bookmarkStart w:id="0" w:name="_Hlk104810528"/>
      <w:r w:rsidRPr="005711BC">
        <w:rPr>
          <w:rFonts w:ascii="Lato" w:eastAsia="Century Gothic" w:hAnsi="Lato" w:cs="Arial"/>
          <w:bCs/>
          <w:color w:val="auto"/>
          <w:sz w:val="51"/>
        </w:rPr>
        <w:t xml:space="preserve">SZCZEGÓŁOWA </w:t>
      </w:r>
    </w:p>
    <w:p w14:paraId="6E4746B1" w14:textId="77777777" w:rsidR="00FB6E17" w:rsidRPr="005711BC" w:rsidRDefault="00FB6E17" w:rsidP="00FB6E17">
      <w:pPr>
        <w:spacing w:after="71" w:line="259" w:lineRule="auto"/>
        <w:ind w:left="0" w:right="1143" w:firstLine="0"/>
        <w:jc w:val="right"/>
        <w:rPr>
          <w:rFonts w:ascii="Lato" w:hAnsi="Lato" w:cs="Arial"/>
          <w:bCs/>
          <w:color w:val="auto"/>
        </w:rPr>
      </w:pPr>
      <w:r w:rsidRPr="005711BC">
        <w:rPr>
          <w:rFonts w:ascii="Lato" w:eastAsia="Century Gothic" w:hAnsi="Lato" w:cs="Arial"/>
          <w:bCs/>
          <w:color w:val="auto"/>
          <w:sz w:val="51"/>
        </w:rPr>
        <w:t xml:space="preserve">SPECYFIKACJA TECHNICZNA  </w:t>
      </w:r>
    </w:p>
    <w:p w14:paraId="3F6FDAF4" w14:textId="77777777" w:rsidR="00FB6E17" w:rsidRPr="005711BC" w:rsidRDefault="00FB6E17" w:rsidP="00FB6E17">
      <w:pPr>
        <w:spacing w:after="0" w:line="259" w:lineRule="auto"/>
        <w:ind w:left="768" w:firstLine="0"/>
        <w:jc w:val="left"/>
        <w:rPr>
          <w:rFonts w:ascii="Lato" w:hAnsi="Lato" w:cs="Arial"/>
          <w:bCs/>
          <w:color w:val="auto"/>
        </w:rPr>
      </w:pPr>
      <w:r w:rsidRPr="005711BC">
        <w:rPr>
          <w:rFonts w:ascii="Lato" w:eastAsia="Century Gothic" w:hAnsi="Lato" w:cs="Arial"/>
          <w:bCs/>
          <w:color w:val="auto"/>
          <w:sz w:val="51"/>
        </w:rPr>
        <w:t xml:space="preserve">WYKONANIA I ODBIORU ROBÓT </w:t>
      </w:r>
    </w:p>
    <w:p w14:paraId="412F96C9" w14:textId="77777777" w:rsidR="00FB6E17" w:rsidRPr="005711BC" w:rsidRDefault="00FB6E17" w:rsidP="00FB6E17">
      <w:pPr>
        <w:spacing w:after="19" w:line="268" w:lineRule="auto"/>
        <w:ind w:left="1233" w:right="1225"/>
        <w:jc w:val="center"/>
        <w:rPr>
          <w:rFonts w:ascii="Lato" w:hAnsi="Lato"/>
          <w:bCs/>
          <w:color w:val="auto"/>
          <w:sz w:val="36"/>
        </w:rPr>
      </w:pPr>
    </w:p>
    <w:p w14:paraId="59B8762F" w14:textId="6F44710C" w:rsidR="00FB6E17" w:rsidRPr="005711BC" w:rsidRDefault="00FB6E17" w:rsidP="00FB6E17">
      <w:pPr>
        <w:spacing w:after="0" w:line="240" w:lineRule="auto"/>
        <w:ind w:left="3842" w:right="3844" w:hanging="302"/>
        <w:jc w:val="center"/>
        <w:rPr>
          <w:rFonts w:ascii="Lato" w:eastAsia="Century Gothic" w:hAnsi="Lato" w:cs="Arial"/>
          <w:bCs/>
          <w:color w:val="auto"/>
          <w:sz w:val="47"/>
        </w:rPr>
      </w:pPr>
      <w:r w:rsidRPr="005711BC">
        <w:rPr>
          <w:rFonts w:ascii="Lato" w:eastAsia="Century Gothic" w:hAnsi="Lato" w:cs="Arial"/>
          <w:bCs/>
          <w:color w:val="auto"/>
          <w:sz w:val="47"/>
        </w:rPr>
        <w:t xml:space="preserve">SST </w:t>
      </w:r>
      <w:r w:rsidR="00132015" w:rsidRPr="005711BC">
        <w:rPr>
          <w:rFonts w:ascii="Lato" w:eastAsia="Century Gothic" w:hAnsi="Lato" w:cs="Arial"/>
          <w:bCs/>
          <w:color w:val="auto"/>
          <w:sz w:val="47"/>
        </w:rPr>
        <w:t>8</w:t>
      </w:r>
      <w:r w:rsidRPr="005711BC">
        <w:rPr>
          <w:rFonts w:ascii="Lato" w:eastAsia="Century Gothic" w:hAnsi="Lato" w:cs="Arial"/>
          <w:bCs/>
          <w:color w:val="auto"/>
          <w:sz w:val="47"/>
        </w:rPr>
        <w:t>.0</w:t>
      </w:r>
    </w:p>
    <w:p w14:paraId="6F235123" w14:textId="65D0EABC" w:rsidR="00FB6E17" w:rsidRPr="005711BC" w:rsidRDefault="00FB6E17" w:rsidP="00FB6E17">
      <w:pPr>
        <w:spacing w:after="0" w:line="240" w:lineRule="auto"/>
        <w:ind w:left="3842" w:right="3844" w:hanging="302"/>
        <w:jc w:val="center"/>
        <w:rPr>
          <w:rFonts w:ascii="Lato" w:eastAsia="Century Gothic" w:hAnsi="Lato" w:cs="Arial"/>
          <w:bCs/>
          <w:color w:val="auto"/>
          <w:sz w:val="47"/>
        </w:rPr>
      </w:pPr>
    </w:p>
    <w:p w14:paraId="1ACA2283" w14:textId="77777777" w:rsidR="00FB6E17" w:rsidRPr="005711BC" w:rsidRDefault="00FB6E17" w:rsidP="00FB6E17">
      <w:pPr>
        <w:spacing w:after="0" w:line="240" w:lineRule="auto"/>
        <w:ind w:left="3842" w:right="3844" w:hanging="302"/>
        <w:jc w:val="center"/>
        <w:rPr>
          <w:rFonts w:ascii="Lato" w:eastAsia="Century Gothic" w:hAnsi="Lato" w:cs="Arial"/>
          <w:bCs/>
          <w:color w:val="auto"/>
          <w:sz w:val="47"/>
        </w:rPr>
      </w:pPr>
    </w:p>
    <w:p w14:paraId="47521498" w14:textId="04536DA2" w:rsidR="00FB6E17" w:rsidRPr="005711BC" w:rsidRDefault="00FB6E17" w:rsidP="00FB6E17">
      <w:pPr>
        <w:spacing w:after="0" w:line="240" w:lineRule="auto"/>
        <w:ind w:left="3842" w:right="2398" w:hanging="1432"/>
        <w:jc w:val="center"/>
        <w:rPr>
          <w:rFonts w:ascii="Lato" w:hAnsi="Lato" w:cs="Arial"/>
          <w:bCs/>
          <w:color w:val="auto"/>
          <w:sz w:val="36"/>
          <w:szCs w:val="36"/>
        </w:rPr>
      </w:pPr>
      <w:r w:rsidRPr="005711BC">
        <w:rPr>
          <w:rFonts w:ascii="Lato" w:hAnsi="Lato" w:cs="Arial"/>
          <w:bCs/>
          <w:color w:val="auto"/>
          <w:sz w:val="36"/>
          <w:szCs w:val="36"/>
        </w:rPr>
        <w:t>Kod CPV 45421100-5</w:t>
      </w:r>
    </w:p>
    <w:bookmarkEnd w:id="0"/>
    <w:p w14:paraId="13163AF4" w14:textId="77777777" w:rsidR="007F0A6F" w:rsidRPr="005711BC" w:rsidRDefault="00B259FF">
      <w:pPr>
        <w:spacing w:after="32" w:line="259" w:lineRule="auto"/>
        <w:ind w:left="0" w:right="4" w:firstLine="0"/>
        <w:jc w:val="center"/>
        <w:rPr>
          <w:rFonts w:ascii="Lato" w:hAnsi="Lato" w:cs="Arial"/>
          <w:bCs/>
          <w:color w:val="auto"/>
          <w:sz w:val="36"/>
          <w:szCs w:val="36"/>
        </w:rPr>
      </w:pPr>
      <w:r w:rsidRPr="005711BC">
        <w:rPr>
          <w:rFonts w:ascii="Lato" w:hAnsi="Lato" w:cs="Arial"/>
          <w:bCs/>
          <w:color w:val="auto"/>
          <w:sz w:val="36"/>
          <w:szCs w:val="36"/>
        </w:rPr>
        <w:t>MONTAŻ  STOLARKI</w:t>
      </w:r>
    </w:p>
    <w:p w14:paraId="56E05883" w14:textId="3B05BA82" w:rsidR="007F0A6F" w:rsidRPr="00D00A58" w:rsidRDefault="00B259FF" w:rsidP="00FB6E17">
      <w:pPr>
        <w:spacing w:after="0" w:line="259" w:lineRule="auto"/>
        <w:ind w:right="0"/>
        <w:jc w:val="left"/>
        <w:rPr>
          <w:color w:val="auto"/>
        </w:rPr>
      </w:pPr>
      <w:r w:rsidRPr="00D00A58">
        <w:rPr>
          <w:color w:val="auto"/>
        </w:rPr>
        <w:br w:type="page"/>
      </w:r>
    </w:p>
    <w:p w14:paraId="77B08A6E" w14:textId="77777777" w:rsidR="007F0A6F" w:rsidRPr="001C67F0" w:rsidRDefault="00B259FF" w:rsidP="001C67F0">
      <w:pPr>
        <w:spacing w:after="582" w:line="419" w:lineRule="auto"/>
        <w:ind w:right="1"/>
        <w:jc w:val="left"/>
        <w:rPr>
          <w:rFonts w:ascii="Lato" w:hAnsi="Lato" w:cs="Arial"/>
          <w:b/>
          <w:bCs/>
          <w:color w:val="auto"/>
          <w:sz w:val="20"/>
          <w:szCs w:val="20"/>
        </w:rPr>
      </w:pPr>
      <w:r w:rsidRPr="001C67F0">
        <w:rPr>
          <w:rFonts w:ascii="Lato" w:hAnsi="Lato" w:cs="Arial"/>
          <w:b/>
          <w:bCs/>
          <w:color w:val="auto"/>
          <w:sz w:val="20"/>
          <w:szCs w:val="20"/>
        </w:rPr>
        <w:lastRenderedPageBreak/>
        <w:t>SPIS TREŚCI</w:t>
      </w:r>
    </w:p>
    <w:p w14:paraId="4ABB8CEE" w14:textId="77777777" w:rsidR="007F0A6F" w:rsidRPr="001C67F0" w:rsidRDefault="00B259FF">
      <w:pPr>
        <w:numPr>
          <w:ilvl w:val="0"/>
          <w:numId w:val="1"/>
        </w:numPr>
        <w:spacing w:after="30"/>
        <w:ind w:right="0" w:hanging="370"/>
        <w:rPr>
          <w:rFonts w:ascii="Lato" w:hAnsi="Lato" w:cs="Arial"/>
          <w:color w:val="auto"/>
          <w:sz w:val="20"/>
          <w:szCs w:val="20"/>
        </w:rPr>
      </w:pPr>
      <w:r w:rsidRPr="001C67F0">
        <w:rPr>
          <w:rFonts w:ascii="Lato" w:hAnsi="Lato" w:cs="Arial"/>
          <w:color w:val="auto"/>
          <w:sz w:val="20"/>
          <w:szCs w:val="20"/>
        </w:rPr>
        <w:t xml:space="preserve">CZĘŚĆ OGÓLNA </w:t>
      </w:r>
    </w:p>
    <w:p w14:paraId="181A60C1" w14:textId="77777777" w:rsidR="007F0A6F" w:rsidRPr="001C67F0" w:rsidRDefault="00B259FF">
      <w:pPr>
        <w:numPr>
          <w:ilvl w:val="0"/>
          <w:numId w:val="1"/>
        </w:numPr>
        <w:spacing w:after="30"/>
        <w:ind w:right="0" w:hanging="370"/>
        <w:rPr>
          <w:rFonts w:ascii="Lato" w:hAnsi="Lato" w:cs="Arial"/>
          <w:color w:val="auto"/>
          <w:sz w:val="20"/>
          <w:szCs w:val="20"/>
        </w:rPr>
      </w:pPr>
      <w:r w:rsidRPr="001C67F0">
        <w:rPr>
          <w:rFonts w:ascii="Lato" w:hAnsi="Lato" w:cs="Arial"/>
          <w:color w:val="auto"/>
          <w:sz w:val="20"/>
          <w:szCs w:val="20"/>
        </w:rPr>
        <w:t xml:space="preserve">WYMAGANIA DOTYCZĄCE WŁAŚCIWOŚCI MATERIAŁÓW </w:t>
      </w:r>
    </w:p>
    <w:p w14:paraId="46FE7ADE" w14:textId="77777777" w:rsidR="007F0A6F" w:rsidRPr="001C67F0" w:rsidRDefault="00B259FF">
      <w:pPr>
        <w:numPr>
          <w:ilvl w:val="0"/>
          <w:numId w:val="1"/>
        </w:numPr>
        <w:spacing w:after="30"/>
        <w:ind w:right="0" w:hanging="370"/>
        <w:rPr>
          <w:rFonts w:ascii="Lato" w:hAnsi="Lato" w:cs="Arial"/>
          <w:color w:val="auto"/>
          <w:sz w:val="20"/>
          <w:szCs w:val="20"/>
        </w:rPr>
      </w:pPr>
      <w:r w:rsidRPr="001C67F0">
        <w:rPr>
          <w:rFonts w:ascii="Lato" w:hAnsi="Lato" w:cs="Arial"/>
          <w:color w:val="auto"/>
          <w:sz w:val="20"/>
          <w:szCs w:val="20"/>
        </w:rPr>
        <w:t xml:space="preserve">WYMAGANIA DOTYCZĄCE SPRZĘTU, MASZYN I NARZĘDZI </w:t>
      </w:r>
    </w:p>
    <w:p w14:paraId="2BBC7DAD" w14:textId="77777777" w:rsidR="007F0A6F" w:rsidRPr="001C67F0" w:rsidRDefault="00B259FF">
      <w:pPr>
        <w:numPr>
          <w:ilvl w:val="0"/>
          <w:numId w:val="1"/>
        </w:numPr>
        <w:spacing w:after="30"/>
        <w:ind w:right="0" w:hanging="370"/>
        <w:rPr>
          <w:rFonts w:ascii="Lato" w:hAnsi="Lato" w:cs="Arial"/>
          <w:color w:val="auto"/>
          <w:sz w:val="20"/>
          <w:szCs w:val="20"/>
        </w:rPr>
      </w:pPr>
      <w:r w:rsidRPr="001C67F0">
        <w:rPr>
          <w:rFonts w:ascii="Lato" w:hAnsi="Lato" w:cs="Arial"/>
          <w:color w:val="auto"/>
          <w:sz w:val="20"/>
          <w:szCs w:val="20"/>
        </w:rPr>
        <w:t xml:space="preserve">WYMAGANIA DOTYCZĄCE TRANSPORTU </w:t>
      </w:r>
    </w:p>
    <w:p w14:paraId="792E2651" w14:textId="77777777" w:rsidR="007F0A6F" w:rsidRPr="001C67F0" w:rsidRDefault="00B259FF">
      <w:pPr>
        <w:numPr>
          <w:ilvl w:val="0"/>
          <w:numId w:val="1"/>
        </w:numPr>
        <w:spacing w:after="30"/>
        <w:ind w:right="0" w:hanging="370"/>
        <w:rPr>
          <w:rFonts w:ascii="Lato" w:hAnsi="Lato" w:cs="Arial"/>
          <w:color w:val="auto"/>
          <w:sz w:val="20"/>
          <w:szCs w:val="20"/>
        </w:rPr>
      </w:pPr>
      <w:r w:rsidRPr="001C67F0">
        <w:rPr>
          <w:rFonts w:ascii="Lato" w:hAnsi="Lato" w:cs="Arial"/>
          <w:color w:val="auto"/>
          <w:sz w:val="20"/>
          <w:szCs w:val="20"/>
        </w:rPr>
        <w:t xml:space="preserve">WYMAGANIA DOTYCZĄCE WYKONANIA ROBÓT </w:t>
      </w:r>
    </w:p>
    <w:p w14:paraId="7A80F4C6" w14:textId="77777777" w:rsidR="007F0A6F" w:rsidRPr="001C67F0" w:rsidRDefault="00B259FF">
      <w:pPr>
        <w:numPr>
          <w:ilvl w:val="0"/>
          <w:numId w:val="1"/>
        </w:numPr>
        <w:spacing w:after="30"/>
        <w:ind w:right="0" w:hanging="370"/>
        <w:rPr>
          <w:rFonts w:ascii="Lato" w:hAnsi="Lato" w:cs="Arial"/>
          <w:color w:val="auto"/>
          <w:sz w:val="20"/>
          <w:szCs w:val="20"/>
        </w:rPr>
      </w:pPr>
      <w:r w:rsidRPr="001C67F0">
        <w:rPr>
          <w:rFonts w:ascii="Lato" w:hAnsi="Lato" w:cs="Arial"/>
          <w:color w:val="auto"/>
          <w:sz w:val="20"/>
          <w:szCs w:val="20"/>
        </w:rPr>
        <w:t xml:space="preserve">KONTROLA JAKOŚCI ROBÓT </w:t>
      </w:r>
    </w:p>
    <w:p w14:paraId="403B39CE" w14:textId="77777777" w:rsidR="007F0A6F" w:rsidRPr="001C67F0" w:rsidRDefault="00B259FF">
      <w:pPr>
        <w:numPr>
          <w:ilvl w:val="0"/>
          <w:numId w:val="1"/>
        </w:numPr>
        <w:spacing w:after="30"/>
        <w:ind w:right="0" w:hanging="370"/>
        <w:rPr>
          <w:rFonts w:ascii="Lato" w:hAnsi="Lato" w:cs="Arial"/>
          <w:color w:val="auto"/>
          <w:sz w:val="20"/>
          <w:szCs w:val="20"/>
        </w:rPr>
      </w:pPr>
      <w:r w:rsidRPr="001C67F0">
        <w:rPr>
          <w:rFonts w:ascii="Lato" w:hAnsi="Lato" w:cs="Arial"/>
          <w:color w:val="auto"/>
          <w:sz w:val="20"/>
          <w:szCs w:val="20"/>
        </w:rPr>
        <w:t>WYMAGANIA DOTYCZĄCE PRZEDMIARU I OBMIARU ROBÓT</w:t>
      </w:r>
    </w:p>
    <w:p w14:paraId="3B2560A3" w14:textId="77777777" w:rsidR="007F0A6F" w:rsidRPr="001C67F0" w:rsidRDefault="00B259FF">
      <w:pPr>
        <w:numPr>
          <w:ilvl w:val="0"/>
          <w:numId w:val="1"/>
        </w:numPr>
        <w:spacing w:after="30"/>
        <w:ind w:right="0" w:hanging="370"/>
        <w:rPr>
          <w:rFonts w:ascii="Lato" w:hAnsi="Lato" w:cs="Arial"/>
          <w:color w:val="auto"/>
          <w:sz w:val="20"/>
          <w:szCs w:val="20"/>
        </w:rPr>
      </w:pPr>
      <w:r w:rsidRPr="001C67F0">
        <w:rPr>
          <w:rFonts w:ascii="Lato" w:hAnsi="Lato" w:cs="Arial"/>
          <w:color w:val="auto"/>
          <w:sz w:val="20"/>
          <w:szCs w:val="20"/>
        </w:rPr>
        <w:t xml:space="preserve">SPOSÓB ODBIORU ROBÓT </w:t>
      </w:r>
    </w:p>
    <w:p w14:paraId="23F92E06" w14:textId="77777777" w:rsidR="007F0A6F" w:rsidRPr="001C67F0" w:rsidRDefault="00B259FF">
      <w:pPr>
        <w:numPr>
          <w:ilvl w:val="0"/>
          <w:numId w:val="1"/>
        </w:numPr>
        <w:ind w:right="0" w:hanging="370"/>
        <w:rPr>
          <w:rFonts w:ascii="Lato" w:hAnsi="Lato" w:cs="Arial"/>
          <w:color w:val="auto"/>
          <w:sz w:val="20"/>
          <w:szCs w:val="20"/>
        </w:rPr>
      </w:pPr>
      <w:r w:rsidRPr="001C67F0">
        <w:rPr>
          <w:rFonts w:ascii="Lato" w:hAnsi="Lato" w:cs="Arial"/>
          <w:color w:val="auto"/>
          <w:sz w:val="20"/>
          <w:szCs w:val="20"/>
        </w:rPr>
        <w:t xml:space="preserve">PODSTAWA ROZLICZENIA ROBÓT PODSTAWOWYCH, TYMCZASOWYCH I PRACTOWARZYSZĄCYCH </w:t>
      </w:r>
    </w:p>
    <w:p w14:paraId="296769BB" w14:textId="77777777" w:rsidR="007F0A6F" w:rsidRPr="001C67F0" w:rsidRDefault="00B259FF">
      <w:pPr>
        <w:numPr>
          <w:ilvl w:val="0"/>
          <w:numId w:val="1"/>
        </w:numPr>
        <w:spacing w:after="1223"/>
        <w:ind w:right="0" w:hanging="370"/>
        <w:rPr>
          <w:rFonts w:ascii="Lato" w:hAnsi="Lato" w:cs="Arial"/>
          <w:color w:val="auto"/>
          <w:sz w:val="20"/>
          <w:szCs w:val="20"/>
        </w:rPr>
      </w:pPr>
      <w:r w:rsidRPr="001C67F0">
        <w:rPr>
          <w:rFonts w:ascii="Lato" w:hAnsi="Lato" w:cs="Arial"/>
          <w:color w:val="auto"/>
          <w:sz w:val="20"/>
          <w:szCs w:val="20"/>
        </w:rPr>
        <w:t xml:space="preserve">DOKUMENTY ODNIESIENIA </w:t>
      </w:r>
    </w:p>
    <w:p w14:paraId="7F5004B2" w14:textId="77777777" w:rsidR="007F0A6F" w:rsidRPr="001C67F0" w:rsidRDefault="00B259FF">
      <w:pPr>
        <w:spacing w:after="30"/>
        <w:ind w:left="-5" w:right="0"/>
        <w:rPr>
          <w:rFonts w:ascii="Lato" w:hAnsi="Lato" w:cs="Arial"/>
          <w:b/>
          <w:bCs/>
          <w:color w:val="auto"/>
          <w:sz w:val="20"/>
          <w:szCs w:val="20"/>
        </w:rPr>
      </w:pPr>
      <w:r w:rsidRPr="001C67F0">
        <w:rPr>
          <w:rFonts w:ascii="Lato" w:hAnsi="Lato" w:cs="Arial"/>
          <w:b/>
          <w:bCs/>
          <w:color w:val="auto"/>
          <w:sz w:val="20"/>
          <w:szCs w:val="20"/>
        </w:rPr>
        <w:t>Najważniejsze oznaczenia i skróty:</w:t>
      </w:r>
    </w:p>
    <w:p w14:paraId="3BD111BB" w14:textId="77777777" w:rsidR="007F0A6F" w:rsidRPr="001C67F0" w:rsidRDefault="00B259FF">
      <w:pPr>
        <w:spacing w:after="30"/>
        <w:ind w:left="-5" w:right="0"/>
        <w:rPr>
          <w:rFonts w:ascii="Lato" w:hAnsi="Lato" w:cs="Arial"/>
          <w:b/>
          <w:bCs/>
          <w:color w:val="auto"/>
          <w:sz w:val="20"/>
          <w:szCs w:val="20"/>
        </w:rPr>
      </w:pPr>
      <w:r w:rsidRPr="001C67F0">
        <w:rPr>
          <w:rFonts w:ascii="Lato" w:hAnsi="Lato" w:cs="Arial"/>
          <w:b/>
          <w:bCs/>
          <w:color w:val="auto"/>
          <w:sz w:val="20"/>
          <w:szCs w:val="20"/>
        </w:rPr>
        <w:t>ST – Specyfikacja Techniczna</w:t>
      </w:r>
    </w:p>
    <w:p w14:paraId="5EA21084" w14:textId="77777777" w:rsidR="007F0A6F" w:rsidRPr="001C67F0" w:rsidRDefault="00B259FF">
      <w:pPr>
        <w:spacing w:after="30"/>
        <w:ind w:left="-5" w:right="0"/>
        <w:rPr>
          <w:rFonts w:ascii="Lato" w:hAnsi="Lato" w:cs="Arial"/>
          <w:b/>
          <w:bCs/>
          <w:color w:val="auto"/>
          <w:sz w:val="20"/>
          <w:szCs w:val="20"/>
        </w:rPr>
      </w:pPr>
      <w:r w:rsidRPr="001C67F0">
        <w:rPr>
          <w:rFonts w:ascii="Lato" w:hAnsi="Lato" w:cs="Arial"/>
          <w:b/>
          <w:bCs/>
          <w:color w:val="auto"/>
          <w:sz w:val="20"/>
          <w:szCs w:val="20"/>
        </w:rPr>
        <w:t>SST – Szczegółowa Specyfikacja Techniczna</w:t>
      </w:r>
    </w:p>
    <w:p w14:paraId="0A609324" w14:textId="77777777" w:rsidR="007F0A6F" w:rsidRPr="001C67F0" w:rsidRDefault="00B259FF">
      <w:pPr>
        <w:spacing w:after="30"/>
        <w:ind w:left="-5" w:right="0"/>
        <w:rPr>
          <w:rFonts w:ascii="Lato" w:hAnsi="Lato" w:cs="Arial"/>
          <w:b/>
          <w:bCs/>
          <w:color w:val="auto"/>
          <w:sz w:val="20"/>
          <w:szCs w:val="20"/>
        </w:rPr>
      </w:pPr>
      <w:r w:rsidRPr="001C67F0">
        <w:rPr>
          <w:rFonts w:ascii="Lato" w:hAnsi="Lato" w:cs="Arial"/>
          <w:b/>
          <w:bCs/>
          <w:color w:val="auto"/>
          <w:sz w:val="20"/>
          <w:szCs w:val="20"/>
        </w:rPr>
        <w:t>ITB – Instytut Techniki Budowlanej</w:t>
      </w:r>
    </w:p>
    <w:p w14:paraId="35F970DE" w14:textId="77777777" w:rsidR="007F0A6F" w:rsidRPr="001C67F0" w:rsidRDefault="00B259FF">
      <w:pPr>
        <w:spacing w:after="30"/>
        <w:ind w:left="-5" w:right="0"/>
        <w:rPr>
          <w:b/>
          <w:bCs/>
          <w:color w:val="auto"/>
        </w:rPr>
      </w:pPr>
      <w:r w:rsidRPr="001C67F0">
        <w:rPr>
          <w:rFonts w:ascii="Lato" w:hAnsi="Lato" w:cs="Arial"/>
          <w:b/>
          <w:bCs/>
          <w:color w:val="auto"/>
          <w:sz w:val="20"/>
          <w:szCs w:val="20"/>
        </w:rPr>
        <w:t>PZJ – Program Zabezpieczenia Jakości</w:t>
      </w:r>
      <w:r w:rsidRPr="001C67F0">
        <w:rPr>
          <w:b/>
          <w:bCs/>
          <w:color w:val="auto"/>
        </w:rPr>
        <w:br w:type="page"/>
      </w:r>
    </w:p>
    <w:p w14:paraId="3D6BD59B" w14:textId="6E019F05" w:rsidR="007F0A6F" w:rsidRPr="00C0396F" w:rsidRDefault="00B259FF" w:rsidP="00FB6E17">
      <w:pPr>
        <w:numPr>
          <w:ilvl w:val="0"/>
          <w:numId w:val="2"/>
        </w:numPr>
        <w:spacing w:after="0" w:line="248" w:lineRule="auto"/>
        <w:ind w:right="0" w:hanging="451"/>
        <w:rPr>
          <w:rFonts w:ascii="Lato" w:hAnsi="Lato" w:cs="Arial"/>
          <w:b/>
          <w:bCs/>
          <w:color w:val="auto"/>
          <w:sz w:val="20"/>
          <w:szCs w:val="20"/>
        </w:rPr>
      </w:pPr>
      <w:r w:rsidRPr="00C0396F">
        <w:rPr>
          <w:rFonts w:ascii="Lato" w:hAnsi="Lato" w:cs="Arial"/>
          <w:b/>
          <w:bCs/>
          <w:color w:val="auto"/>
          <w:sz w:val="20"/>
          <w:szCs w:val="20"/>
        </w:rPr>
        <w:lastRenderedPageBreak/>
        <w:t>CZĘŚĆ OGÓLNA</w:t>
      </w:r>
    </w:p>
    <w:p w14:paraId="4F3E6A84" w14:textId="77777777" w:rsidR="00FB6E17" w:rsidRDefault="00FB6E17" w:rsidP="00FB6E17">
      <w:pPr>
        <w:spacing w:after="0" w:line="248" w:lineRule="auto"/>
        <w:ind w:left="451" w:right="0" w:firstLine="0"/>
        <w:rPr>
          <w:rFonts w:ascii="Lato" w:hAnsi="Lato" w:cs="Arial"/>
          <w:b/>
          <w:bCs/>
          <w:color w:val="auto"/>
          <w:sz w:val="20"/>
          <w:szCs w:val="20"/>
        </w:rPr>
      </w:pPr>
    </w:p>
    <w:p w14:paraId="18678138" w14:textId="4F3E4DF3" w:rsidR="00F1180A" w:rsidRPr="00ED7344" w:rsidRDefault="00ED7344" w:rsidP="00ED7344">
      <w:pPr>
        <w:spacing w:after="0" w:line="248" w:lineRule="auto"/>
        <w:ind w:right="0"/>
        <w:rPr>
          <w:rFonts w:ascii="Lato" w:hAnsi="Lato" w:cs="Arial"/>
          <w:color w:val="auto"/>
          <w:sz w:val="20"/>
          <w:szCs w:val="20"/>
        </w:rPr>
      </w:pPr>
      <w:r w:rsidRPr="00ED7344">
        <w:rPr>
          <w:rFonts w:ascii="Lato" w:hAnsi="Lato" w:cs="Arial"/>
          <w:color w:val="auto"/>
          <w:sz w:val="20"/>
          <w:szCs w:val="20"/>
        </w:rPr>
        <w:t>ROZBUDOWA I PRZEBUDOWA BUDYNKU PRZEDSZKOLA MIEJSKIEGO NR 2 W RAMACH ZADANIA PN. POPRAWA EFEKTYWNOŚCI ENERGETYCZNEJ BUDYNKÓW PUBLICZNYCH NA TERENIE MOF ŁUKOWA – KOMPLEKSOWA MODERNIZACJA ENERGETYCZNA BUDYNKU PRZEDSZKOLA MIEJSKIEGO NR 2 W ŁUKOWIE WRAZ Z JEGO ROZBUDOWĄ I PRZEBUDOWĄ</w:t>
      </w:r>
    </w:p>
    <w:p w14:paraId="25DE86EB" w14:textId="77777777" w:rsidR="00F90AAE" w:rsidRPr="00ED7344" w:rsidRDefault="00F90AAE" w:rsidP="00F90AAE">
      <w:pPr>
        <w:spacing w:line="240" w:lineRule="auto"/>
        <w:ind w:left="-5"/>
        <w:rPr>
          <w:rFonts w:ascii="Lato" w:hAnsi="Lato" w:cs="Arial"/>
          <w:b/>
          <w:bCs/>
          <w:color w:val="auto"/>
          <w:sz w:val="20"/>
          <w:szCs w:val="20"/>
        </w:rPr>
      </w:pPr>
      <w:bookmarkStart w:id="1" w:name="_Hlk104804536"/>
      <w:bookmarkStart w:id="2" w:name="_Hlk104809852"/>
      <w:r w:rsidRPr="00ED7344">
        <w:rPr>
          <w:rFonts w:ascii="Lato" w:hAnsi="Lato" w:cs="Arial"/>
          <w:b/>
          <w:bCs/>
          <w:color w:val="auto"/>
          <w:sz w:val="20"/>
          <w:szCs w:val="20"/>
        </w:rPr>
        <w:t xml:space="preserve">Zamawiający: </w:t>
      </w:r>
    </w:p>
    <w:p w14:paraId="64EAAA4E" w14:textId="77777777" w:rsidR="00F90AAE" w:rsidRPr="00C0396F" w:rsidRDefault="00F90AAE" w:rsidP="00F90AAE">
      <w:pPr>
        <w:spacing w:line="240" w:lineRule="auto"/>
        <w:ind w:left="-5"/>
        <w:rPr>
          <w:rFonts w:ascii="Lato" w:hAnsi="Lato" w:cs="Arial"/>
          <w:color w:val="auto"/>
          <w:sz w:val="20"/>
          <w:szCs w:val="20"/>
        </w:rPr>
      </w:pPr>
      <w:r w:rsidRPr="00C0396F">
        <w:rPr>
          <w:rFonts w:ascii="Lato" w:hAnsi="Lato" w:cs="Arial"/>
          <w:color w:val="auto"/>
          <w:sz w:val="20"/>
          <w:szCs w:val="20"/>
        </w:rPr>
        <w:t>MIASTO ŁUKÓW</w:t>
      </w:r>
    </w:p>
    <w:p w14:paraId="19945060" w14:textId="77777777" w:rsidR="00F90AAE" w:rsidRPr="00C0396F" w:rsidRDefault="00F90AAE" w:rsidP="00F90AAE">
      <w:pPr>
        <w:spacing w:line="240" w:lineRule="auto"/>
        <w:ind w:left="-5"/>
        <w:rPr>
          <w:rFonts w:ascii="Lato" w:hAnsi="Lato" w:cs="Arial"/>
          <w:color w:val="auto"/>
          <w:sz w:val="20"/>
          <w:szCs w:val="20"/>
        </w:rPr>
      </w:pPr>
      <w:r w:rsidRPr="00C0396F">
        <w:rPr>
          <w:rFonts w:ascii="Lato" w:hAnsi="Lato" w:cs="Arial"/>
          <w:color w:val="auto"/>
          <w:sz w:val="20"/>
          <w:szCs w:val="20"/>
        </w:rPr>
        <w:t>UL. PIŁSUDSKIEGO 17, 21-400 ŁUKÓW</w:t>
      </w:r>
    </w:p>
    <w:p w14:paraId="69DC24C6" w14:textId="77777777" w:rsidR="00F90AAE" w:rsidRPr="00ED7344" w:rsidRDefault="00F90AAE" w:rsidP="00F90AAE">
      <w:pPr>
        <w:spacing w:line="240" w:lineRule="auto"/>
        <w:ind w:left="-5"/>
        <w:rPr>
          <w:rFonts w:ascii="Lato" w:hAnsi="Lato" w:cs="Arial"/>
          <w:b/>
          <w:bCs/>
          <w:color w:val="auto"/>
          <w:sz w:val="20"/>
          <w:szCs w:val="20"/>
        </w:rPr>
      </w:pPr>
      <w:r w:rsidRPr="00ED7344">
        <w:rPr>
          <w:rFonts w:ascii="Lato" w:hAnsi="Lato" w:cs="Arial"/>
          <w:b/>
          <w:bCs/>
          <w:color w:val="auto"/>
          <w:sz w:val="20"/>
          <w:szCs w:val="20"/>
        </w:rPr>
        <w:t xml:space="preserve">Miejsce realizacji: </w:t>
      </w:r>
    </w:p>
    <w:bookmarkEnd w:id="1"/>
    <w:p w14:paraId="55DA900D" w14:textId="252EE5D3" w:rsidR="00FB6E17" w:rsidRDefault="00F1180A" w:rsidP="00F57FF1">
      <w:pPr>
        <w:spacing w:after="52" w:line="240" w:lineRule="auto"/>
        <w:ind w:left="-5"/>
        <w:jc w:val="left"/>
        <w:rPr>
          <w:rFonts w:ascii="Lato" w:hAnsi="Lato" w:cs="Arial"/>
          <w:color w:val="auto"/>
          <w:sz w:val="20"/>
          <w:szCs w:val="20"/>
        </w:rPr>
      </w:pPr>
      <w:r w:rsidRPr="00F1180A">
        <w:rPr>
          <w:rFonts w:ascii="Lato" w:hAnsi="Lato" w:cs="Arial"/>
          <w:color w:val="auto"/>
          <w:sz w:val="20"/>
          <w:szCs w:val="20"/>
        </w:rPr>
        <w:t>DZ. NR EW.: 8453/6, OBRĘB  0003 ŁUKÓW, JEDN. EW. 061101_1 ŁUKÓW (UL. PIŁSUDSKIEGO 18,   21-400 ŁUKÓW)</w:t>
      </w:r>
    </w:p>
    <w:p w14:paraId="3B0F1117" w14:textId="77777777" w:rsidR="00F1180A" w:rsidRPr="00C0396F" w:rsidRDefault="00F1180A" w:rsidP="00F57FF1">
      <w:pPr>
        <w:spacing w:after="52" w:line="240" w:lineRule="auto"/>
        <w:ind w:left="-5"/>
        <w:jc w:val="left"/>
        <w:rPr>
          <w:rFonts w:ascii="Lato" w:hAnsi="Lato" w:cs="Arial"/>
          <w:color w:val="auto"/>
          <w:sz w:val="20"/>
          <w:szCs w:val="20"/>
        </w:rPr>
      </w:pPr>
    </w:p>
    <w:bookmarkEnd w:id="2"/>
    <w:p w14:paraId="59B6BED7" w14:textId="77777777" w:rsidR="007F0A6F" w:rsidRPr="00C0396F" w:rsidRDefault="00B259FF" w:rsidP="00FB6E17">
      <w:pPr>
        <w:numPr>
          <w:ilvl w:val="1"/>
          <w:numId w:val="2"/>
        </w:numPr>
        <w:spacing w:after="0" w:line="248" w:lineRule="auto"/>
        <w:ind w:right="0" w:hanging="571"/>
        <w:rPr>
          <w:rFonts w:ascii="Lato" w:hAnsi="Lato" w:cs="Arial"/>
          <w:b/>
          <w:bCs/>
          <w:color w:val="auto"/>
          <w:sz w:val="20"/>
          <w:szCs w:val="20"/>
        </w:rPr>
      </w:pPr>
      <w:r w:rsidRPr="00C0396F">
        <w:rPr>
          <w:rFonts w:ascii="Lato" w:hAnsi="Lato" w:cs="Arial"/>
          <w:b/>
          <w:bCs/>
          <w:color w:val="auto"/>
          <w:sz w:val="20"/>
          <w:szCs w:val="20"/>
        </w:rPr>
        <w:t>Przedmiot ST</w:t>
      </w:r>
    </w:p>
    <w:p w14:paraId="52C41120" w14:textId="31520743" w:rsidR="007F0A6F" w:rsidRPr="00C0396F" w:rsidRDefault="00B259FF" w:rsidP="00FB6E17">
      <w:pPr>
        <w:spacing w:after="0"/>
        <w:ind w:left="-5" w:right="0"/>
        <w:rPr>
          <w:rFonts w:ascii="Lato" w:hAnsi="Lato" w:cs="Arial"/>
          <w:color w:val="auto"/>
          <w:sz w:val="20"/>
          <w:szCs w:val="20"/>
        </w:rPr>
      </w:pPr>
      <w:r w:rsidRPr="00C0396F">
        <w:rPr>
          <w:rFonts w:ascii="Lato" w:hAnsi="Lato" w:cs="Arial"/>
          <w:color w:val="auto"/>
          <w:sz w:val="20"/>
          <w:szCs w:val="20"/>
        </w:rPr>
        <w:t>Przedmiotem niniejszej  specyfikacji technicznej (SST) są wymagania dotyczące wykonania i odbioru montażu stolarki w ramach powyższego zadania.</w:t>
      </w:r>
    </w:p>
    <w:p w14:paraId="32ED691C" w14:textId="77777777" w:rsidR="00FB6E17" w:rsidRPr="00C0396F" w:rsidRDefault="00FB6E17" w:rsidP="00FB6E17">
      <w:pPr>
        <w:spacing w:after="0"/>
        <w:ind w:left="-5" w:right="0"/>
        <w:rPr>
          <w:rFonts w:ascii="Lato" w:hAnsi="Lato" w:cs="Arial"/>
          <w:color w:val="auto"/>
          <w:sz w:val="20"/>
          <w:szCs w:val="20"/>
        </w:rPr>
      </w:pPr>
    </w:p>
    <w:p w14:paraId="46D1DC5B" w14:textId="77777777" w:rsidR="007F0A6F" w:rsidRPr="00C0396F" w:rsidRDefault="00B259FF" w:rsidP="00FB6E17">
      <w:pPr>
        <w:numPr>
          <w:ilvl w:val="1"/>
          <w:numId w:val="2"/>
        </w:numPr>
        <w:spacing w:after="0" w:line="248" w:lineRule="auto"/>
        <w:ind w:right="0" w:hanging="571"/>
        <w:rPr>
          <w:rFonts w:ascii="Lato" w:hAnsi="Lato" w:cs="Arial"/>
          <w:b/>
          <w:bCs/>
          <w:color w:val="auto"/>
          <w:sz w:val="20"/>
          <w:szCs w:val="20"/>
        </w:rPr>
      </w:pPr>
      <w:r w:rsidRPr="00C0396F">
        <w:rPr>
          <w:rFonts w:ascii="Lato" w:hAnsi="Lato" w:cs="Arial"/>
          <w:b/>
          <w:bCs/>
          <w:color w:val="auto"/>
          <w:sz w:val="20"/>
          <w:szCs w:val="20"/>
        </w:rPr>
        <w:t>Zakres stosowania ST</w:t>
      </w:r>
    </w:p>
    <w:p w14:paraId="7BFF5FD4" w14:textId="77777777" w:rsidR="007F0A6F" w:rsidRPr="00C0396F" w:rsidRDefault="00B259FF" w:rsidP="00FB6E17">
      <w:pPr>
        <w:spacing w:after="0"/>
        <w:ind w:left="-5" w:right="0"/>
        <w:rPr>
          <w:rFonts w:ascii="Lato" w:hAnsi="Lato" w:cs="Arial"/>
          <w:color w:val="auto"/>
          <w:sz w:val="20"/>
          <w:szCs w:val="20"/>
        </w:rPr>
      </w:pPr>
      <w:r w:rsidRPr="00C0396F">
        <w:rPr>
          <w:rFonts w:ascii="Lato" w:hAnsi="Lato" w:cs="Arial"/>
          <w:color w:val="auto"/>
          <w:sz w:val="20"/>
          <w:szCs w:val="20"/>
        </w:rPr>
        <w:t>Niniejsza specyfikacja techniczna (SST) jest dokumentem przetargowym i kontraktowym przy zlecaniu i realizacji robót wymienionych w pkt. 1.2.</w:t>
      </w:r>
    </w:p>
    <w:p w14:paraId="0F0C40E1" w14:textId="58E633DB" w:rsidR="007F0A6F" w:rsidRPr="00C0396F" w:rsidRDefault="00B259FF" w:rsidP="00FB6E17">
      <w:pPr>
        <w:spacing w:after="0"/>
        <w:ind w:left="-15" w:right="0" w:firstLine="286"/>
        <w:rPr>
          <w:rFonts w:ascii="Lato" w:hAnsi="Lato" w:cs="Arial"/>
          <w:color w:val="auto"/>
          <w:sz w:val="20"/>
          <w:szCs w:val="20"/>
        </w:rPr>
      </w:pPr>
      <w:r w:rsidRPr="00C0396F">
        <w:rPr>
          <w:rFonts w:ascii="Lato" w:hAnsi="Lato" w:cs="Arial"/>
          <w:color w:val="auto"/>
          <w:sz w:val="20"/>
          <w:szCs w:val="20"/>
        </w:rPr>
        <w:t>Odstępstwa od wymagań podanych w niniejszej specyfikacji mogą mieć miejsce tylko w przypadkach prostych robót o niewielkim znaczeniu, dla których istnieje pewność, że podstawowe wymagania będą spełnione przy zastosowaniu metod wykonania wynikających z doświadczenia oraz uznanych reguł i zasad sztuki budowlanej oraz przy uwzględnieniu przepisów bhp.</w:t>
      </w:r>
    </w:p>
    <w:p w14:paraId="12604CDA" w14:textId="77777777" w:rsidR="00FB6E17" w:rsidRPr="00C0396F" w:rsidRDefault="00FB6E17" w:rsidP="00FB6E17">
      <w:pPr>
        <w:spacing w:after="0"/>
        <w:ind w:left="-15" w:right="0" w:firstLine="286"/>
        <w:rPr>
          <w:rFonts w:ascii="Lato" w:hAnsi="Lato" w:cs="Arial"/>
          <w:color w:val="auto"/>
          <w:sz w:val="20"/>
          <w:szCs w:val="20"/>
        </w:rPr>
      </w:pPr>
    </w:p>
    <w:p w14:paraId="6421AAC3" w14:textId="77777777" w:rsidR="007F0A6F" w:rsidRPr="00C0396F" w:rsidRDefault="00B259FF" w:rsidP="00FB6E17">
      <w:pPr>
        <w:numPr>
          <w:ilvl w:val="1"/>
          <w:numId w:val="2"/>
        </w:numPr>
        <w:spacing w:after="0" w:line="248" w:lineRule="auto"/>
        <w:ind w:right="0" w:hanging="571"/>
        <w:rPr>
          <w:rFonts w:ascii="Lato" w:hAnsi="Lato" w:cs="Arial"/>
          <w:b/>
          <w:bCs/>
          <w:color w:val="auto"/>
          <w:sz w:val="20"/>
          <w:szCs w:val="20"/>
        </w:rPr>
      </w:pPr>
      <w:r w:rsidRPr="00C0396F">
        <w:rPr>
          <w:rFonts w:ascii="Lato" w:hAnsi="Lato" w:cs="Arial"/>
          <w:b/>
          <w:bCs/>
          <w:color w:val="auto"/>
          <w:sz w:val="20"/>
          <w:szCs w:val="20"/>
        </w:rPr>
        <w:t>Zakres robót objętych ST</w:t>
      </w:r>
    </w:p>
    <w:p w14:paraId="7AA0EF6D" w14:textId="77777777" w:rsidR="007F0A6F" w:rsidRPr="00C0396F" w:rsidRDefault="00B259FF" w:rsidP="00FB6E17">
      <w:pPr>
        <w:spacing w:after="0"/>
        <w:ind w:left="-5" w:right="0"/>
        <w:rPr>
          <w:rFonts w:ascii="Lato" w:hAnsi="Lato" w:cs="Arial"/>
          <w:color w:val="auto"/>
          <w:sz w:val="20"/>
          <w:szCs w:val="20"/>
        </w:rPr>
      </w:pPr>
      <w:r w:rsidRPr="00C0396F">
        <w:rPr>
          <w:rFonts w:ascii="Lato" w:hAnsi="Lato" w:cs="Arial"/>
          <w:color w:val="auto"/>
          <w:sz w:val="20"/>
          <w:szCs w:val="20"/>
        </w:rPr>
        <w:t>Specyfikacja dotyczy montażu stolarki z aluminium oraz z drewna i obejmuje wykonanie następujących czynności:</w:t>
      </w:r>
    </w:p>
    <w:p w14:paraId="36F97C3B" w14:textId="77777777" w:rsidR="000A0C04" w:rsidRPr="00C0396F" w:rsidRDefault="00B259FF" w:rsidP="00FB6E17">
      <w:pPr>
        <w:numPr>
          <w:ilvl w:val="0"/>
          <w:numId w:val="3"/>
        </w:numPr>
        <w:spacing w:after="0"/>
        <w:ind w:right="1832" w:hanging="286"/>
        <w:rPr>
          <w:rFonts w:ascii="Lato" w:hAnsi="Lato" w:cs="Arial"/>
          <w:color w:val="auto"/>
          <w:sz w:val="20"/>
          <w:szCs w:val="20"/>
        </w:rPr>
      </w:pPr>
      <w:r w:rsidRPr="00C0396F">
        <w:rPr>
          <w:rFonts w:ascii="Lato" w:hAnsi="Lato" w:cs="Arial"/>
          <w:color w:val="auto"/>
          <w:sz w:val="20"/>
          <w:szCs w:val="20"/>
        </w:rPr>
        <w:t xml:space="preserve">przygotowanie ościeży do wbudowania drzwi  lub okien, </w:t>
      </w:r>
    </w:p>
    <w:p w14:paraId="0B0E1AB8" w14:textId="04D31B78" w:rsidR="007F0A6F" w:rsidRPr="00C0396F" w:rsidRDefault="00B259FF" w:rsidP="00FB6E17">
      <w:pPr>
        <w:numPr>
          <w:ilvl w:val="0"/>
          <w:numId w:val="3"/>
        </w:numPr>
        <w:spacing w:after="0"/>
        <w:ind w:right="1832" w:hanging="286"/>
        <w:rPr>
          <w:rFonts w:ascii="Lato" w:hAnsi="Lato" w:cs="Arial"/>
          <w:color w:val="auto"/>
          <w:sz w:val="20"/>
          <w:szCs w:val="20"/>
        </w:rPr>
      </w:pPr>
      <w:r w:rsidRPr="00C0396F">
        <w:rPr>
          <w:rFonts w:ascii="Lato" w:hAnsi="Lato" w:cs="Arial"/>
          <w:color w:val="auto"/>
          <w:sz w:val="20"/>
          <w:szCs w:val="20"/>
        </w:rPr>
        <w:t>usytuowanie i mocowanie drzwi  lub okien w otworach,</w:t>
      </w:r>
    </w:p>
    <w:p w14:paraId="3723AA89" w14:textId="77777777" w:rsidR="007F0A6F" w:rsidRPr="00C0396F" w:rsidRDefault="00B259FF" w:rsidP="00FB6E17">
      <w:pPr>
        <w:numPr>
          <w:ilvl w:val="0"/>
          <w:numId w:val="3"/>
        </w:numPr>
        <w:spacing w:after="0"/>
        <w:ind w:right="1832" w:hanging="286"/>
        <w:rPr>
          <w:rFonts w:ascii="Lato" w:hAnsi="Lato" w:cs="Arial"/>
          <w:color w:val="auto"/>
          <w:sz w:val="20"/>
          <w:szCs w:val="20"/>
        </w:rPr>
      </w:pPr>
      <w:r w:rsidRPr="00C0396F">
        <w:rPr>
          <w:rFonts w:ascii="Lato" w:hAnsi="Lato" w:cs="Arial"/>
          <w:color w:val="auto"/>
          <w:sz w:val="20"/>
          <w:szCs w:val="20"/>
        </w:rPr>
        <w:t>uszczelnienie i izolację oraz osadzenie parapetów i obróbek.</w:t>
      </w:r>
    </w:p>
    <w:p w14:paraId="6E520B41" w14:textId="29907516" w:rsidR="007F0A6F" w:rsidRPr="00C0396F" w:rsidRDefault="00B259FF" w:rsidP="00FB6E17">
      <w:pPr>
        <w:spacing w:after="0"/>
        <w:ind w:left="-15" w:right="0" w:firstLine="286"/>
        <w:rPr>
          <w:rFonts w:ascii="Lato" w:hAnsi="Lato" w:cs="Arial"/>
          <w:color w:val="auto"/>
          <w:sz w:val="20"/>
          <w:szCs w:val="20"/>
        </w:rPr>
      </w:pPr>
      <w:r w:rsidRPr="00C0396F">
        <w:rPr>
          <w:rFonts w:ascii="Lato" w:hAnsi="Lato" w:cs="Arial"/>
          <w:color w:val="auto"/>
          <w:sz w:val="20"/>
          <w:szCs w:val="20"/>
        </w:rPr>
        <w:t>Przedmiotem specyfikacji jest także określenie wymagań odnośnie właściwości materiałów wykorzystywanych do montażu okien i drzwi  oraz wymagań dotyczących wykonania i odbiorów robót montażowych.</w:t>
      </w:r>
    </w:p>
    <w:p w14:paraId="25E8A855" w14:textId="77777777" w:rsidR="00FB6E17" w:rsidRPr="00C0396F" w:rsidRDefault="00FB6E17" w:rsidP="00FB6E17">
      <w:pPr>
        <w:spacing w:after="0"/>
        <w:ind w:left="-15" w:right="0" w:firstLine="286"/>
        <w:rPr>
          <w:rFonts w:ascii="Lato" w:hAnsi="Lato" w:cs="Arial"/>
          <w:color w:val="auto"/>
          <w:sz w:val="20"/>
          <w:szCs w:val="20"/>
        </w:rPr>
      </w:pPr>
    </w:p>
    <w:p w14:paraId="5C86B360" w14:textId="1B2E1E4C" w:rsidR="007F0A6F" w:rsidRPr="00C0396F" w:rsidRDefault="00B259FF" w:rsidP="00FB6E17">
      <w:pPr>
        <w:pStyle w:val="Akapitzlist"/>
        <w:numPr>
          <w:ilvl w:val="1"/>
          <w:numId w:val="2"/>
        </w:numPr>
        <w:tabs>
          <w:tab w:val="center" w:pos="2376"/>
        </w:tabs>
        <w:spacing w:after="0" w:line="248" w:lineRule="auto"/>
        <w:ind w:right="0" w:hanging="582"/>
        <w:jc w:val="left"/>
        <w:rPr>
          <w:rFonts w:ascii="Lato" w:hAnsi="Lato" w:cs="Arial"/>
          <w:b/>
          <w:bCs/>
          <w:color w:val="auto"/>
          <w:sz w:val="20"/>
          <w:szCs w:val="20"/>
        </w:rPr>
      </w:pPr>
      <w:r w:rsidRPr="00C0396F">
        <w:rPr>
          <w:rFonts w:ascii="Lato" w:hAnsi="Lato" w:cs="Arial"/>
          <w:b/>
          <w:bCs/>
          <w:color w:val="auto"/>
          <w:sz w:val="20"/>
          <w:szCs w:val="20"/>
        </w:rPr>
        <w:t>Określenia podstawowe i definicje</w:t>
      </w:r>
    </w:p>
    <w:p w14:paraId="369C3FF8" w14:textId="77777777" w:rsidR="007F0A6F" w:rsidRPr="00C0396F" w:rsidRDefault="00B259FF" w:rsidP="00FB6E17">
      <w:pPr>
        <w:spacing w:after="0" w:line="224" w:lineRule="auto"/>
        <w:ind w:left="0" w:right="0" w:firstLine="0"/>
        <w:jc w:val="left"/>
        <w:rPr>
          <w:rFonts w:ascii="Lato" w:hAnsi="Lato" w:cs="Arial"/>
          <w:color w:val="auto"/>
          <w:sz w:val="20"/>
          <w:szCs w:val="20"/>
        </w:rPr>
      </w:pPr>
      <w:r w:rsidRPr="00C0396F">
        <w:rPr>
          <w:rFonts w:ascii="Lato" w:hAnsi="Lato" w:cs="Arial"/>
          <w:color w:val="auto"/>
          <w:sz w:val="20"/>
          <w:szCs w:val="20"/>
        </w:rPr>
        <w:t>Określenia podane w niniejszej Specyfikacji są zgodne z odpowiednimi normami, w szczególności PN-B-91000, oraz określeniami podanymi w ST „Wymagania ogólne” Kod CPV 45000000-7, pkt 1.4., a także zdefiniowanymi poniżej:</w:t>
      </w:r>
    </w:p>
    <w:p w14:paraId="234EDB9F" w14:textId="77777777" w:rsidR="007F0A6F" w:rsidRPr="00C0396F" w:rsidRDefault="00B259FF" w:rsidP="00FB6E17">
      <w:pPr>
        <w:spacing w:after="0"/>
        <w:ind w:left="-5" w:right="0"/>
        <w:rPr>
          <w:rFonts w:ascii="Lato" w:hAnsi="Lato" w:cs="Arial"/>
          <w:color w:val="auto"/>
          <w:sz w:val="20"/>
          <w:szCs w:val="20"/>
        </w:rPr>
      </w:pPr>
      <w:r w:rsidRPr="00C0396F">
        <w:rPr>
          <w:rFonts w:ascii="Lato" w:hAnsi="Lato" w:cs="Arial"/>
          <w:color w:val="auto"/>
          <w:sz w:val="20"/>
          <w:szCs w:val="20"/>
        </w:rPr>
        <w:t>Okno – ruchoma lub stała część ściany zewnętrznej zapewniająca odpowiednią izolacyjność i przepuszczalność światła. Okno składa się z ościeżnicy i z jednego lub więcej oszklonych skrzydeł lub z samej oszklonej ościeżnicy.</w:t>
      </w:r>
    </w:p>
    <w:p w14:paraId="234C2407" w14:textId="77777777" w:rsidR="007F0A6F" w:rsidRPr="00C0396F" w:rsidRDefault="00B259FF" w:rsidP="00FB6E17">
      <w:pPr>
        <w:spacing w:after="0"/>
        <w:ind w:left="-5" w:right="0"/>
        <w:rPr>
          <w:rFonts w:ascii="Lato" w:hAnsi="Lato" w:cs="Arial"/>
          <w:color w:val="auto"/>
          <w:sz w:val="20"/>
          <w:szCs w:val="20"/>
        </w:rPr>
      </w:pPr>
      <w:r w:rsidRPr="00C0396F">
        <w:rPr>
          <w:rFonts w:ascii="Lato" w:hAnsi="Lato" w:cs="Arial"/>
          <w:color w:val="auto"/>
          <w:sz w:val="20"/>
          <w:szCs w:val="20"/>
        </w:rPr>
        <w:t xml:space="preserve">Ościeżnica – rama służąca do zamocowania skrzydeł lub szyby i osadzenia wyrobu na stałe w otworze budowlanym. </w:t>
      </w:r>
    </w:p>
    <w:p w14:paraId="3B0EDC09" w14:textId="77777777" w:rsidR="007F0A6F" w:rsidRPr="00C0396F" w:rsidRDefault="00B259FF" w:rsidP="00FB6E17">
      <w:pPr>
        <w:spacing w:after="0"/>
        <w:ind w:left="-5" w:right="0"/>
        <w:rPr>
          <w:rFonts w:ascii="Lato" w:hAnsi="Lato" w:cs="Arial"/>
          <w:color w:val="auto"/>
          <w:sz w:val="20"/>
          <w:szCs w:val="20"/>
        </w:rPr>
      </w:pPr>
      <w:r w:rsidRPr="00C0396F">
        <w:rPr>
          <w:rFonts w:ascii="Lato" w:hAnsi="Lato" w:cs="Arial"/>
          <w:color w:val="auto"/>
          <w:sz w:val="20"/>
          <w:szCs w:val="20"/>
        </w:rPr>
        <w:t>Skrzydło – ruchoma część okna (naświetla), drzwi lub wrót zamocowana w ościeżnicy, krośnie lub bezpośrednio w otworze budowlanym.</w:t>
      </w:r>
    </w:p>
    <w:p w14:paraId="441C27A7" w14:textId="77777777" w:rsidR="007F0A6F" w:rsidRPr="00C0396F" w:rsidRDefault="00B259FF" w:rsidP="00FB6E17">
      <w:pPr>
        <w:spacing w:after="0"/>
        <w:ind w:left="-5" w:right="0"/>
        <w:rPr>
          <w:rFonts w:ascii="Lato" w:hAnsi="Lato" w:cs="Arial"/>
          <w:color w:val="auto"/>
          <w:sz w:val="20"/>
          <w:szCs w:val="20"/>
        </w:rPr>
      </w:pPr>
      <w:r w:rsidRPr="00C0396F">
        <w:rPr>
          <w:rFonts w:ascii="Lato" w:hAnsi="Lato" w:cs="Arial"/>
          <w:color w:val="auto"/>
          <w:sz w:val="20"/>
          <w:szCs w:val="20"/>
        </w:rPr>
        <w:t>Skrzydło prawe – skrzydło, które w widoku od strony zawiasów ma zawiasy z prawej strony a po zamocowaniu w ościeżnicy (krośnie) lub bezpośrednio w otworze budowlanym, obrót jego przy zamykaniu jest zgodny z ruchem wskazówek zegara.</w:t>
      </w:r>
    </w:p>
    <w:p w14:paraId="0729F81B" w14:textId="77777777" w:rsidR="007F0A6F" w:rsidRPr="00C0396F" w:rsidRDefault="00B259FF" w:rsidP="00FB6E17">
      <w:pPr>
        <w:spacing w:after="0"/>
        <w:ind w:left="-5" w:right="0"/>
        <w:rPr>
          <w:rFonts w:ascii="Lato" w:hAnsi="Lato" w:cs="Arial"/>
          <w:color w:val="auto"/>
          <w:sz w:val="20"/>
          <w:szCs w:val="20"/>
        </w:rPr>
      </w:pPr>
      <w:r w:rsidRPr="00C0396F">
        <w:rPr>
          <w:rFonts w:ascii="Lato" w:hAnsi="Lato" w:cs="Arial"/>
          <w:color w:val="auto"/>
          <w:sz w:val="20"/>
          <w:szCs w:val="20"/>
        </w:rPr>
        <w:t>Skrzydło lewe – skrzydło, które w widoku od strony zawiasów ma zawiasy z lewej strony a po zamocowaniu w ościeżnicy (krośnie) lub bezpośrednio w otworze budowlanym, obrót jego przy zamykaniu jest przeciwny do ruchu wskazówek zegara.</w:t>
      </w:r>
    </w:p>
    <w:p w14:paraId="701FCD64" w14:textId="77777777" w:rsidR="007F0A6F" w:rsidRPr="00C0396F" w:rsidRDefault="00B259FF" w:rsidP="00FB6E17">
      <w:pPr>
        <w:spacing w:after="0" w:line="224" w:lineRule="auto"/>
        <w:ind w:left="0" w:right="0" w:firstLine="0"/>
        <w:jc w:val="left"/>
        <w:rPr>
          <w:rFonts w:ascii="Lato" w:hAnsi="Lato" w:cs="Arial"/>
          <w:color w:val="auto"/>
          <w:sz w:val="20"/>
          <w:szCs w:val="20"/>
        </w:rPr>
      </w:pPr>
      <w:r w:rsidRPr="00C0396F">
        <w:rPr>
          <w:rFonts w:ascii="Lato" w:hAnsi="Lato" w:cs="Arial"/>
          <w:color w:val="auto"/>
          <w:sz w:val="20"/>
          <w:szCs w:val="20"/>
        </w:rPr>
        <w:t>Naświetle – ruchoma lub stała część ściany, przepuszczająca światło pomiędzy pomieszczeniami. Naświetle składa się z ościeżnicy i oszklonego skrzydła lub z samej oszklonej ościeżnicy.</w:t>
      </w:r>
    </w:p>
    <w:p w14:paraId="0F176E44" w14:textId="543C0577" w:rsidR="007F0A6F" w:rsidRPr="00C0396F" w:rsidRDefault="00B259FF" w:rsidP="00FB6E17">
      <w:pPr>
        <w:spacing w:after="0"/>
        <w:ind w:left="-5" w:right="0"/>
        <w:rPr>
          <w:rFonts w:ascii="Lato" w:hAnsi="Lato" w:cs="Arial"/>
          <w:color w:val="auto"/>
          <w:sz w:val="20"/>
          <w:szCs w:val="20"/>
        </w:rPr>
      </w:pPr>
      <w:r w:rsidRPr="00C0396F">
        <w:rPr>
          <w:rFonts w:ascii="Lato" w:hAnsi="Lato" w:cs="Arial"/>
          <w:color w:val="auto"/>
          <w:sz w:val="20"/>
          <w:szCs w:val="20"/>
        </w:rPr>
        <w:t>Jednostka ładunkowa kontenerowa – jednostka ładunkowa uformowana przy użyciu kontenera.</w:t>
      </w:r>
    </w:p>
    <w:p w14:paraId="1DAA80E5" w14:textId="77777777" w:rsidR="00FB6E17" w:rsidRPr="00C0396F" w:rsidRDefault="00FB6E17" w:rsidP="00FB6E17">
      <w:pPr>
        <w:spacing w:after="0"/>
        <w:ind w:left="-5" w:right="0"/>
        <w:rPr>
          <w:rFonts w:ascii="Lato" w:hAnsi="Lato" w:cs="Arial"/>
          <w:color w:val="auto"/>
          <w:sz w:val="20"/>
          <w:szCs w:val="20"/>
        </w:rPr>
      </w:pPr>
    </w:p>
    <w:p w14:paraId="10EDE0C7" w14:textId="7754603D" w:rsidR="007F0A6F" w:rsidRPr="00C0396F" w:rsidRDefault="00B259FF" w:rsidP="00FB6E17">
      <w:pPr>
        <w:pStyle w:val="Akapitzlist"/>
        <w:numPr>
          <w:ilvl w:val="1"/>
          <w:numId w:val="2"/>
        </w:numPr>
        <w:tabs>
          <w:tab w:val="center" w:pos="2453"/>
        </w:tabs>
        <w:spacing w:after="0" w:line="248" w:lineRule="auto"/>
        <w:ind w:right="0" w:hanging="582"/>
        <w:jc w:val="left"/>
        <w:rPr>
          <w:rFonts w:ascii="Lato" w:hAnsi="Lato" w:cs="Arial"/>
          <w:b/>
          <w:bCs/>
          <w:color w:val="auto"/>
          <w:sz w:val="20"/>
          <w:szCs w:val="20"/>
        </w:rPr>
      </w:pPr>
      <w:r w:rsidRPr="00C0396F">
        <w:rPr>
          <w:rFonts w:ascii="Lato" w:hAnsi="Lato" w:cs="Arial"/>
          <w:b/>
          <w:bCs/>
          <w:color w:val="auto"/>
          <w:sz w:val="20"/>
          <w:szCs w:val="20"/>
        </w:rPr>
        <w:t>Ogólne wymagania dotyczące robót</w:t>
      </w:r>
    </w:p>
    <w:p w14:paraId="10D4DD01" w14:textId="77777777" w:rsidR="007F0A6F" w:rsidRPr="00C0396F" w:rsidRDefault="00B259FF" w:rsidP="00FB6E17">
      <w:pPr>
        <w:spacing w:after="0"/>
        <w:ind w:left="-5" w:right="0"/>
        <w:rPr>
          <w:rFonts w:ascii="Lato" w:hAnsi="Lato" w:cs="Arial"/>
          <w:color w:val="auto"/>
          <w:sz w:val="20"/>
          <w:szCs w:val="20"/>
        </w:rPr>
      </w:pPr>
      <w:r w:rsidRPr="00C0396F">
        <w:rPr>
          <w:rFonts w:ascii="Lato" w:hAnsi="Lato" w:cs="Arial"/>
          <w:color w:val="auto"/>
          <w:sz w:val="20"/>
          <w:szCs w:val="20"/>
        </w:rPr>
        <w:t>Wykonawca robót jest odpowiedzialny za jakość ich wykonania oraz za zgodność z dokumentacją projektową, specyfikacjami technicznymi i poleceniami Inspektora nadzoru.</w:t>
      </w:r>
    </w:p>
    <w:p w14:paraId="512F375E" w14:textId="311FA2CA" w:rsidR="007F0A6F" w:rsidRPr="00C0396F" w:rsidRDefault="00B259FF" w:rsidP="00FB6E17">
      <w:pPr>
        <w:spacing w:after="0"/>
        <w:ind w:left="-5" w:right="0"/>
        <w:rPr>
          <w:rFonts w:ascii="Lato" w:hAnsi="Lato" w:cs="Arial"/>
          <w:color w:val="auto"/>
          <w:sz w:val="20"/>
          <w:szCs w:val="20"/>
        </w:rPr>
      </w:pPr>
      <w:r w:rsidRPr="00C0396F">
        <w:rPr>
          <w:rFonts w:ascii="Lato" w:hAnsi="Lato" w:cs="Arial"/>
          <w:color w:val="auto"/>
          <w:sz w:val="20"/>
          <w:szCs w:val="20"/>
        </w:rPr>
        <w:t>Ogólne powszechnie stosowane wymagania dotyczące robót podano w ST „Wymagania ogólne” Kod CPV 45000000-7, pkt 1.5.</w:t>
      </w:r>
    </w:p>
    <w:p w14:paraId="25B4F1CE" w14:textId="77777777" w:rsidR="00FB6E17" w:rsidRPr="00C0396F" w:rsidRDefault="00FB6E17" w:rsidP="00FB6E17">
      <w:pPr>
        <w:spacing w:after="0"/>
        <w:ind w:left="-5" w:right="0"/>
        <w:rPr>
          <w:rFonts w:ascii="Lato" w:hAnsi="Lato" w:cs="Arial"/>
          <w:color w:val="auto"/>
          <w:sz w:val="20"/>
          <w:szCs w:val="20"/>
        </w:rPr>
      </w:pPr>
    </w:p>
    <w:p w14:paraId="1B6C0058" w14:textId="0BB660D1" w:rsidR="007F0A6F" w:rsidRPr="00C0396F" w:rsidRDefault="00B259FF" w:rsidP="00FB6E17">
      <w:pPr>
        <w:pStyle w:val="Akapitzlist"/>
        <w:numPr>
          <w:ilvl w:val="1"/>
          <w:numId w:val="2"/>
        </w:numPr>
        <w:tabs>
          <w:tab w:val="center" w:pos="2507"/>
        </w:tabs>
        <w:spacing w:after="0" w:line="248" w:lineRule="auto"/>
        <w:ind w:right="0" w:hanging="582"/>
        <w:jc w:val="left"/>
        <w:rPr>
          <w:rFonts w:ascii="Lato" w:hAnsi="Lato" w:cs="Arial"/>
          <w:b/>
          <w:bCs/>
          <w:color w:val="auto"/>
          <w:sz w:val="20"/>
          <w:szCs w:val="20"/>
        </w:rPr>
      </w:pPr>
      <w:r w:rsidRPr="00C0396F">
        <w:rPr>
          <w:rFonts w:ascii="Lato" w:hAnsi="Lato" w:cs="Arial"/>
          <w:b/>
          <w:bCs/>
          <w:color w:val="auto"/>
          <w:sz w:val="20"/>
          <w:szCs w:val="20"/>
        </w:rPr>
        <w:t xml:space="preserve">Dokumentacja montażu okien i drzwi </w:t>
      </w:r>
    </w:p>
    <w:p w14:paraId="1955F8BA" w14:textId="1D11505A" w:rsidR="007F0A6F" w:rsidRPr="00C0396F" w:rsidRDefault="00B259FF" w:rsidP="00FB6E17">
      <w:pPr>
        <w:spacing w:after="0"/>
        <w:ind w:left="-5" w:right="0"/>
        <w:rPr>
          <w:rFonts w:ascii="Lato" w:hAnsi="Lato" w:cs="Arial"/>
          <w:color w:val="auto"/>
          <w:sz w:val="20"/>
          <w:szCs w:val="20"/>
        </w:rPr>
      </w:pPr>
      <w:r w:rsidRPr="00C0396F">
        <w:rPr>
          <w:rFonts w:ascii="Lato" w:hAnsi="Lato" w:cs="Arial"/>
          <w:color w:val="auto"/>
          <w:sz w:val="20"/>
          <w:szCs w:val="20"/>
        </w:rPr>
        <w:t>Montaż okien i drzwi  należy wykonywać na podstawie dokumentacji, której wykaz oraz podstawy prawne sporządzenia podano w ST „Wymagania ogólne” Kod CPV 45000000-7, pkt 1.6.</w:t>
      </w:r>
    </w:p>
    <w:p w14:paraId="3C445C6B" w14:textId="77777777" w:rsidR="00FB6E17" w:rsidRPr="00C0396F" w:rsidRDefault="00FB6E17" w:rsidP="00FB6E17">
      <w:pPr>
        <w:spacing w:after="0"/>
        <w:ind w:left="-5" w:right="0"/>
        <w:rPr>
          <w:rFonts w:ascii="Lato" w:hAnsi="Lato" w:cs="Arial"/>
          <w:color w:val="auto"/>
          <w:sz w:val="20"/>
          <w:szCs w:val="20"/>
        </w:rPr>
      </w:pPr>
    </w:p>
    <w:p w14:paraId="1233B95C" w14:textId="2DFEFBC3" w:rsidR="007F0A6F" w:rsidRPr="00C0396F" w:rsidRDefault="00B259FF" w:rsidP="00FB6E17">
      <w:pPr>
        <w:numPr>
          <w:ilvl w:val="0"/>
          <w:numId w:val="4"/>
        </w:numPr>
        <w:spacing w:after="0" w:line="248" w:lineRule="auto"/>
        <w:ind w:right="0" w:hanging="451"/>
        <w:rPr>
          <w:rFonts w:ascii="Lato" w:hAnsi="Lato" w:cs="Arial"/>
          <w:b/>
          <w:bCs/>
          <w:color w:val="auto"/>
          <w:sz w:val="20"/>
          <w:szCs w:val="20"/>
        </w:rPr>
      </w:pPr>
      <w:r w:rsidRPr="00C0396F">
        <w:rPr>
          <w:rFonts w:ascii="Lato" w:hAnsi="Lato" w:cs="Arial"/>
          <w:b/>
          <w:bCs/>
          <w:color w:val="auto"/>
          <w:sz w:val="20"/>
          <w:szCs w:val="20"/>
        </w:rPr>
        <w:t>WYMAGANIA DOTYCZĄCE WŁAŚCIWOŚCI MATERIAŁÓW</w:t>
      </w:r>
    </w:p>
    <w:p w14:paraId="2A0D2B21" w14:textId="77777777" w:rsidR="00FB6E17" w:rsidRPr="00C0396F" w:rsidRDefault="00FB6E17" w:rsidP="00FB6E17">
      <w:pPr>
        <w:spacing w:after="0" w:line="248" w:lineRule="auto"/>
        <w:ind w:left="451" w:right="0" w:firstLine="0"/>
        <w:rPr>
          <w:rFonts w:ascii="Lato" w:hAnsi="Lato" w:cs="Arial"/>
          <w:b/>
          <w:bCs/>
          <w:color w:val="auto"/>
          <w:sz w:val="20"/>
          <w:szCs w:val="20"/>
        </w:rPr>
      </w:pPr>
    </w:p>
    <w:p w14:paraId="655AC454" w14:textId="77777777" w:rsidR="007F0A6F" w:rsidRPr="00C0396F" w:rsidRDefault="00B259FF" w:rsidP="00FB6E17">
      <w:pPr>
        <w:pStyle w:val="Akapitzlist"/>
        <w:spacing w:after="0" w:line="248" w:lineRule="auto"/>
        <w:ind w:left="451" w:right="0" w:firstLine="0"/>
        <w:rPr>
          <w:rFonts w:ascii="Lato" w:hAnsi="Lato" w:cs="Arial"/>
          <w:color w:val="auto"/>
          <w:sz w:val="20"/>
          <w:szCs w:val="20"/>
        </w:rPr>
      </w:pPr>
      <w:r w:rsidRPr="00C0396F">
        <w:rPr>
          <w:rFonts w:ascii="Lato" w:hAnsi="Lato" w:cs="Arial"/>
          <w:b/>
          <w:bCs/>
          <w:color w:val="auto"/>
          <w:sz w:val="20"/>
          <w:szCs w:val="20"/>
        </w:rPr>
        <w:t>2.1.</w:t>
      </w:r>
      <w:r w:rsidRPr="00C0396F">
        <w:rPr>
          <w:rFonts w:ascii="Lato" w:hAnsi="Lato" w:cs="Arial"/>
          <w:color w:val="auto"/>
          <w:sz w:val="20"/>
          <w:szCs w:val="20"/>
        </w:rPr>
        <w:t xml:space="preserve"> Ogólne wymagania dotyczące materiałów, ich pozyskiwania i składowania podano w ST „Wymagania ogólne” Kod CPV 45000000-7, pkt 2</w:t>
      </w:r>
    </w:p>
    <w:p w14:paraId="662AB669" w14:textId="77777777" w:rsidR="007F0A6F" w:rsidRPr="00C0396F" w:rsidRDefault="00B259FF" w:rsidP="00FB6E17">
      <w:pPr>
        <w:spacing w:after="0"/>
        <w:ind w:left="-5" w:right="0"/>
        <w:rPr>
          <w:rFonts w:ascii="Lato" w:hAnsi="Lato" w:cs="Arial"/>
          <w:color w:val="auto"/>
          <w:sz w:val="20"/>
          <w:szCs w:val="20"/>
        </w:rPr>
      </w:pPr>
      <w:r w:rsidRPr="00C0396F">
        <w:rPr>
          <w:rFonts w:ascii="Lato" w:hAnsi="Lato" w:cs="Arial"/>
          <w:color w:val="auto"/>
          <w:sz w:val="20"/>
          <w:szCs w:val="20"/>
        </w:rPr>
        <w:t>Materiały stosowane przy montażu okien i drzwi, będące w myśl Ustawy o wyrobach budowlanych, materiałami budowlanymi, wprowadzone do obrotu i stosowane w budownictwie na terytorium RP, powinny mieć:</w:t>
      </w:r>
    </w:p>
    <w:p w14:paraId="0FA4C991" w14:textId="77777777" w:rsidR="007F0A6F" w:rsidRPr="00C0396F" w:rsidRDefault="00B259FF" w:rsidP="00FB6E17">
      <w:pPr>
        <w:numPr>
          <w:ilvl w:val="0"/>
          <w:numId w:val="5"/>
        </w:numPr>
        <w:spacing w:after="0" w:line="224" w:lineRule="auto"/>
        <w:ind w:right="0" w:hanging="286"/>
        <w:rPr>
          <w:rFonts w:ascii="Lato" w:hAnsi="Lato" w:cs="Arial"/>
          <w:color w:val="auto"/>
          <w:sz w:val="20"/>
          <w:szCs w:val="20"/>
        </w:rPr>
      </w:pPr>
      <w:r w:rsidRPr="00C0396F">
        <w:rPr>
          <w:rFonts w:ascii="Lato" w:hAnsi="Lato" w:cs="Arial"/>
          <w:color w:val="auto"/>
          <w:sz w:val="20"/>
          <w:szCs w:val="20"/>
        </w:rPr>
        <w:t>oznakowanie znakiem CE co oznacza, że dokonano oceny ich zgodności ze zharmonizowaną normą europejską wprowadzoną do zbioru Polskich Norm, z europejską aprobatą techniczną lub krajową specyfikacją techniczną państwa członkowskiego Unii Europejskiej lub Europejskiego Obszaru Gospodarczego, uznaną przez Komisję Europejską za zgodną z wymaganiami podstawowymi, albo</w:t>
      </w:r>
    </w:p>
    <w:p w14:paraId="3FD576F9" w14:textId="77777777" w:rsidR="007F0A6F" w:rsidRPr="00C0396F" w:rsidRDefault="00B259FF" w:rsidP="00FB6E17">
      <w:pPr>
        <w:numPr>
          <w:ilvl w:val="0"/>
          <w:numId w:val="5"/>
        </w:numPr>
        <w:spacing w:after="0"/>
        <w:ind w:right="0" w:hanging="286"/>
        <w:rPr>
          <w:rFonts w:ascii="Lato" w:hAnsi="Lato" w:cs="Arial"/>
          <w:color w:val="auto"/>
          <w:sz w:val="20"/>
          <w:szCs w:val="20"/>
        </w:rPr>
      </w:pPr>
      <w:r w:rsidRPr="00C0396F">
        <w:rPr>
          <w:rFonts w:ascii="Lato" w:hAnsi="Lato" w:cs="Arial"/>
          <w:color w:val="auto"/>
          <w:sz w:val="20"/>
          <w:szCs w:val="20"/>
        </w:rPr>
        <w:t>oznakowanie znakiem budowlanym, co oznacza że są to wyroby nie podlegające obowiązkowemu oznakowaniu CE, dla których dokonano oceny zgodności z Polską Normą lub aprobatą techniczną, bądź uznano za „regionalny wyrób budowlany”, albo</w:t>
      </w:r>
    </w:p>
    <w:p w14:paraId="7B420A3E" w14:textId="77777777" w:rsidR="007F0A6F" w:rsidRPr="00C0396F" w:rsidRDefault="00B259FF" w:rsidP="00FB6E17">
      <w:pPr>
        <w:numPr>
          <w:ilvl w:val="0"/>
          <w:numId w:val="5"/>
        </w:numPr>
        <w:spacing w:after="0"/>
        <w:ind w:right="0" w:hanging="286"/>
        <w:rPr>
          <w:rFonts w:ascii="Lato" w:hAnsi="Lato" w:cs="Arial"/>
          <w:color w:val="auto"/>
          <w:sz w:val="20"/>
          <w:szCs w:val="20"/>
        </w:rPr>
      </w:pPr>
      <w:r w:rsidRPr="00C0396F">
        <w:rPr>
          <w:rFonts w:ascii="Lato" w:hAnsi="Lato" w:cs="Arial"/>
          <w:color w:val="auto"/>
          <w:sz w:val="20"/>
          <w:szCs w:val="20"/>
        </w:rPr>
        <w:t>deklarację zgodności z uznanymi regułami sztuki budowlanej wydaną przez producenta, jeżeli dotyczy ona wyrobu umieszczonego w wykazie wyrobów mających niewielkie znaczenie dla zdrowia i bezpieczeństwa określonym przez Komisję Europejską.</w:t>
      </w:r>
    </w:p>
    <w:p w14:paraId="2F8FD9EC" w14:textId="05DE9354" w:rsidR="007F0A6F" w:rsidRPr="00C0396F" w:rsidRDefault="00B259FF" w:rsidP="00FB6E17">
      <w:pPr>
        <w:spacing w:after="0"/>
        <w:ind w:left="-15" w:right="0" w:firstLine="286"/>
        <w:rPr>
          <w:rFonts w:ascii="Lato" w:hAnsi="Lato" w:cs="Arial"/>
          <w:color w:val="auto"/>
          <w:sz w:val="20"/>
          <w:szCs w:val="20"/>
        </w:rPr>
      </w:pPr>
      <w:r w:rsidRPr="00C0396F">
        <w:rPr>
          <w:rFonts w:ascii="Lato" w:hAnsi="Lato" w:cs="Arial"/>
          <w:color w:val="auto"/>
          <w:sz w:val="20"/>
          <w:szCs w:val="20"/>
        </w:rPr>
        <w:t>Oznakowanie powinno umożliwiać identyfikację producenta i typu wyrobu, kraju pochodzenia oraz daty produkcji.</w:t>
      </w:r>
    </w:p>
    <w:p w14:paraId="46C6BC01" w14:textId="77777777" w:rsidR="00922BBE" w:rsidRPr="00C0396F" w:rsidRDefault="00922BBE" w:rsidP="00FB6E17">
      <w:pPr>
        <w:spacing w:after="0"/>
        <w:ind w:left="-15" w:right="0" w:firstLine="286"/>
        <w:rPr>
          <w:rFonts w:ascii="Lato" w:hAnsi="Lato" w:cs="Arial"/>
          <w:color w:val="auto"/>
          <w:sz w:val="20"/>
          <w:szCs w:val="20"/>
        </w:rPr>
      </w:pPr>
    </w:p>
    <w:p w14:paraId="3CA7EDB4" w14:textId="77777777" w:rsidR="007F0A6F" w:rsidRPr="00C0396F" w:rsidRDefault="00B259FF" w:rsidP="00922BBE">
      <w:pPr>
        <w:pStyle w:val="Akapitzlist"/>
        <w:tabs>
          <w:tab w:val="center" w:pos="1604"/>
        </w:tabs>
        <w:spacing w:after="0" w:line="248" w:lineRule="auto"/>
        <w:ind w:left="451" w:right="0" w:firstLine="0"/>
        <w:jc w:val="left"/>
        <w:rPr>
          <w:rFonts w:ascii="Lato" w:hAnsi="Lato" w:cs="Arial"/>
          <w:b/>
          <w:bCs/>
          <w:color w:val="auto"/>
          <w:sz w:val="20"/>
          <w:szCs w:val="20"/>
        </w:rPr>
      </w:pPr>
      <w:r w:rsidRPr="00C0396F">
        <w:rPr>
          <w:rFonts w:ascii="Lato" w:hAnsi="Lato" w:cs="Arial"/>
          <w:b/>
          <w:bCs/>
          <w:color w:val="auto"/>
          <w:sz w:val="20"/>
          <w:szCs w:val="20"/>
        </w:rPr>
        <w:t>2.2.</w:t>
      </w:r>
      <w:r w:rsidRPr="00C0396F">
        <w:rPr>
          <w:rFonts w:ascii="Lato" w:hAnsi="Lato" w:cs="Arial"/>
          <w:b/>
          <w:bCs/>
          <w:color w:val="auto"/>
          <w:sz w:val="20"/>
          <w:szCs w:val="20"/>
        </w:rPr>
        <w:tab/>
        <w:t>Rodzaje materiałów</w:t>
      </w:r>
    </w:p>
    <w:p w14:paraId="1156EA5C" w14:textId="77777777" w:rsidR="007F0A6F" w:rsidRPr="00C0396F" w:rsidRDefault="00B259FF" w:rsidP="00FB6E17">
      <w:pPr>
        <w:spacing w:after="0"/>
        <w:ind w:left="-5" w:right="0"/>
        <w:rPr>
          <w:rFonts w:ascii="Lato" w:hAnsi="Lato" w:cs="Arial"/>
          <w:color w:val="auto"/>
          <w:sz w:val="20"/>
          <w:szCs w:val="20"/>
        </w:rPr>
      </w:pPr>
      <w:r w:rsidRPr="00C0396F">
        <w:rPr>
          <w:rFonts w:ascii="Lato" w:hAnsi="Lato" w:cs="Arial"/>
          <w:color w:val="auto"/>
          <w:sz w:val="20"/>
          <w:szCs w:val="20"/>
        </w:rPr>
        <w:t>Materiały i wyroby stosowane przy montażu okien i drzwi:</w:t>
      </w:r>
    </w:p>
    <w:p w14:paraId="4E698857" w14:textId="77777777" w:rsidR="007F0A6F" w:rsidRPr="00C0396F" w:rsidRDefault="00B259FF" w:rsidP="00FB6E17">
      <w:pPr>
        <w:numPr>
          <w:ilvl w:val="0"/>
          <w:numId w:val="5"/>
        </w:numPr>
        <w:spacing w:after="0"/>
        <w:ind w:right="0" w:hanging="286"/>
        <w:rPr>
          <w:rFonts w:ascii="Lato" w:hAnsi="Lato" w:cs="Arial"/>
          <w:color w:val="auto"/>
          <w:sz w:val="20"/>
          <w:szCs w:val="20"/>
        </w:rPr>
      </w:pPr>
      <w:r w:rsidRPr="00C0396F">
        <w:rPr>
          <w:rFonts w:ascii="Lato" w:hAnsi="Lato" w:cs="Arial"/>
          <w:color w:val="auto"/>
          <w:sz w:val="20"/>
          <w:szCs w:val="20"/>
        </w:rPr>
        <w:t>okna i drzwi,</w:t>
      </w:r>
    </w:p>
    <w:p w14:paraId="41A03EEF" w14:textId="77777777" w:rsidR="007F0A6F" w:rsidRPr="00C0396F" w:rsidRDefault="00B259FF" w:rsidP="00FB6E17">
      <w:pPr>
        <w:numPr>
          <w:ilvl w:val="0"/>
          <w:numId w:val="5"/>
        </w:numPr>
        <w:spacing w:after="0"/>
        <w:ind w:right="0" w:hanging="286"/>
        <w:rPr>
          <w:rFonts w:ascii="Lato" w:hAnsi="Lato" w:cs="Arial"/>
          <w:color w:val="auto"/>
          <w:sz w:val="20"/>
          <w:szCs w:val="20"/>
        </w:rPr>
      </w:pPr>
      <w:r w:rsidRPr="00C0396F">
        <w:rPr>
          <w:rFonts w:ascii="Lato" w:hAnsi="Lato" w:cs="Arial"/>
          <w:color w:val="auto"/>
          <w:sz w:val="20"/>
          <w:szCs w:val="20"/>
        </w:rPr>
        <w:t>obróbki,</w:t>
      </w:r>
    </w:p>
    <w:p w14:paraId="3B9B1BAF" w14:textId="77777777" w:rsidR="007F0A6F" w:rsidRPr="00C0396F" w:rsidRDefault="00B259FF" w:rsidP="00FB6E17">
      <w:pPr>
        <w:numPr>
          <w:ilvl w:val="0"/>
          <w:numId w:val="5"/>
        </w:numPr>
        <w:spacing w:after="0"/>
        <w:ind w:right="0" w:hanging="286"/>
        <w:rPr>
          <w:rFonts w:ascii="Lato" w:hAnsi="Lato" w:cs="Arial"/>
          <w:color w:val="auto"/>
          <w:sz w:val="20"/>
          <w:szCs w:val="20"/>
        </w:rPr>
      </w:pPr>
      <w:r w:rsidRPr="00C0396F">
        <w:rPr>
          <w:rFonts w:ascii="Lato" w:hAnsi="Lato" w:cs="Arial"/>
          <w:color w:val="auto"/>
          <w:sz w:val="20"/>
          <w:szCs w:val="20"/>
        </w:rPr>
        <w:t>materiały uszczelniające,– inne wyroby i materiały.</w:t>
      </w:r>
    </w:p>
    <w:p w14:paraId="4881DFA4" w14:textId="77777777" w:rsidR="007F0A6F" w:rsidRPr="006F497F" w:rsidRDefault="00B259FF" w:rsidP="00FB6E17">
      <w:pPr>
        <w:spacing w:after="0"/>
        <w:ind w:left="-15" w:right="0" w:firstLine="286"/>
        <w:rPr>
          <w:rFonts w:ascii="Lato" w:hAnsi="Lato" w:cs="Arial"/>
          <w:color w:val="auto"/>
          <w:sz w:val="20"/>
          <w:szCs w:val="20"/>
        </w:rPr>
      </w:pPr>
      <w:r w:rsidRPr="00C0396F">
        <w:rPr>
          <w:rFonts w:ascii="Lato" w:hAnsi="Lato" w:cs="Arial"/>
          <w:color w:val="auto"/>
          <w:sz w:val="20"/>
          <w:szCs w:val="20"/>
        </w:rPr>
        <w:t xml:space="preserve">Wszystkie materiały do wykonania robót montażowych okien i drzwi  powinny odpowiadać </w:t>
      </w:r>
      <w:r w:rsidRPr="006F497F">
        <w:rPr>
          <w:rFonts w:ascii="Lato" w:hAnsi="Lato" w:cs="Arial"/>
          <w:color w:val="auto"/>
          <w:sz w:val="20"/>
          <w:szCs w:val="20"/>
        </w:rPr>
        <w:t>wymaganiom zawartym w dokumentach odniesienia (normach, aprobatach technicznych, itp.).</w:t>
      </w:r>
    </w:p>
    <w:p w14:paraId="396D72F7" w14:textId="7EB4DE45" w:rsidR="007F0A6F" w:rsidRPr="006F497F" w:rsidRDefault="00B259FF" w:rsidP="00922BBE">
      <w:pPr>
        <w:numPr>
          <w:ilvl w:val="2"/>
          <w:numId w:val="6"/>
        </w:numPr>
        <w:spacing w:after="0" w:line="248" w:lineRule="auto"/>
        <w:ind w:left="993" w:right="0" w:hanging="993"/>
        <w:rPr>
          <w:rFonts w:ascii="Lato" w:hAnsi="Lato" w:cs="Arial"/>
          <w:b/>
          <w:bCs/>
          <w:color w:val="auto"/>
          <w:sz w:val="20"/>
          <w:szCs w:val="20"/>
        </w:rPr>
      </w:pPr>
      <w:r w:rsidRPr="006F497F">
        <w:rPr>
          <w:rFonts w:ascii="Lato" w:hAnsi="Lato" w:cs="Arial"/>
          <w:b/>
          <w:bCs/>
          <w:color w:val="auto"/>
          <w:sz w:val="20"/>
          <w:szCs w:val="20"/>
        </w:rPr>
        <w:t xml:space="preserve">Okna i drzwi </w:t>
      </w:r>
    </w:p>
    <w:p w14:paraId="494DBF13" w14:textId="728AFB90" w:rsidR="00FC4B5D" w:rsidRPr="006F497F" w:rsidRDefault="00E63C37" w:rsidP="00FC4B5D">
      <w:pPr>
        <w:spacing w:after="0" w:line="248" w:lineRule="auto"/>
        <w:ind w:left="0" w:right="0" w:firstLine="0"/>
        <w:rPr>
          <w:rFonts w:ascii="Lato" w:hAnsi="Lato" w:cs="Arial"/>
          <w:color w:val="auto"/>
          <w:sz w:val="20"/>
          <w:szCs w:val="20"/>
        </w:rPr>
      </w:pPr>
      <w:r w:rsidRPr="006F497F">
        <w:rPr>
          <w:rFonts w:ascii="Lato" w:hAnsi="Lato" w:cs="Arial"/>
          <w:color w:val="auto"/>
          <w:sz w:val="20"/>
          <w:szCs w:val="20"/>
        </w:rPr>
        <w:t>•</w:t>
      </w:r>
      <w:r w:rsidRPr="006F497F">
        <w:rPr>
          <w:rFonts w:ascii="Lato" w:hAnsi="Lato" w:cs="Arial"/>
          <w:color w:val="auto"/>
          <w:sz w:val="20"/>
          <w:szCs w:val="20"/>
        </w:rPr>
        <w:tab/>
      </w:r>
      <w:r w:rsidR="00FC4B5D" w:rsidRPr="006F497F">
        <w:rPr>
          <w:rFonts w:ascii="Lato" w:hAnsi="Lato" w:cs="Arial"/>
          <w:color w:val="auto"/>
          <w:sz w:val="20"/>
          <w:szCs w:val="20"/>
        </w:rPr>
        <w:t xml:space="preserve">Stolarka okienna aluminiowa o grubości profilu 82 mm, szklone szybami zwykłymi zespolonymi ze szkła bezpiecznego w pakiecie trzyszybowym z wewnętrzną ciepłą ramką. Okna niskoemisyjne, przestrzeń międzyszybowa wypełniona argonem o wartości współczynnika przenikania ciepła całego okna U=0,9 W/(m2K). </w:t>
      </w:r>
      <w:r w:rsidR="00FC4B5D" w:rsidRPr="006F497F">
        <w:rPr>
          <w:rFonts w:ascii="Lato" w:hAnsi="Lato" w:cs="Arial"/>
          <w:color w:val="auto"/>
          <w:sz w:val="20"/>
          <w:szCs w:val="20"/>
        </w:rPr>
        <w:br/>
        <w:t xml:space="preserve">Kolor wewnętrzny i zewnętrzny w kolorze RAL7035 wraz z parapetami wewnętrznymi z konglomeratu i zewnętrznymi z blachy stalowej ocynkowanej powlekanej w kolorze RAL7035. Okna z nawiewnikami </w:t>
      </w:r>
      <w:proofErr w:type="spellStart"/>
      <w:r w:rsidR="00FC4B5D" w:rsidRPr="006F497F">
        <w:rPr>
          <w:rFonts w:ascii="Lato" w:hAnsi="Lato" w:cs="Arial"/>
          <w:color w:val="auto"/>
          <w:sz w:val="20"/>
          <w:szCs w:val="20"/>
        </w:rPr>
        <w:t>higrosterowalnymi</w:t>
      </w:r>
      <w:proofErr w:type="spellEnd"/>
      <w:r w:rsidR="00FC4B5D" w:rsidRPr="006F497F">
        <w:rPr>
          <w:rFonts w:ascii="Lato" w:hAnsi="Lato" w:cs="Arial"/>
          <w:color w:val="auto"/>
          <w:sz w:val="20"/>
          <w:szCs w:val="20"/>
        </w:rPr>
        <w:t xml:space="preserve"> zgodnie z projektem branży sanitarnej. Montowane za pomocą ciepłego montażu z użyciem ciepłych parapetów z XPS oraz taśmami paroprzepuszczalnymi od wewnątrz i paroszczelnymi od zewnątrz, </w:t>
      </w:r>
      <w:proofErr w:type="spellStart"/>
      <w:r w:rsidR="00FC4B5D" w:rsidRPr="006F497F">
        <w:rPr>
          <w:rFonts w:ascii="Lato" w:hAnsi="Lato" w:cs="Arial"/>
          <w:color w:val="auto"/>
          <w:sz w:val="20"/>
          <w:szCs w:val="20"/>
        </w:rPr>
        <w:t>tzw</w:t>
      </w:r>
      <w:proofErr w:type="spellEnd"/>
      <w:r w:rsidR="00FC4B5D" w:rsidRPr="006F497F">
        <w:rPr>
          <w:rFonts w:ascii="Lato" w:hAnsi="Lato" w:cs="Arial"/>
          <w:color w:val="auto"/>
          <w:sz w:val="20"/>
          <w:szCs w:val="20"/>
        </w:rPr>
        <w:t xml:space="preserve">, ciepły montaż. </w:t>
      </w:r>
    </w:p>
    <w:p w14:paraId="7BBFFEEA" w14:textId="46A829BF" w:rsidR="00E63C37" w:rsidRPr="006F497F" w:rsidRDefault="00E63C37" w:rsidP="00AA06AD">
      <w:pPr>
        <w:spacing w:after="0" w:line="248" w:lineRule="auto"/>
        <w:ind w:left="0" w:right="0" w:firstLine="0"/>
        <w:rPr>
          <w:rFonts w:ascii="Lato" w:hAnsi="Lato" w:cs="Arial"/>
          <w:color w:val="auto"/>
          <w:sz w:val="20"/>
          <w:szCs w:val="20"/>
        </w:rPr>
      </w:pPr>
    </w:p>
    <w:p w14:paraId="094A1EC1" w14:textId="77777777" w:rsidR="00F13F88" w:rsidRPr="006F497F" w:rsidRDefault="00F13F88" w:rsidP="00F13F88">
      <w:pPr>
        <w:spacing w:after="0" w:line="240" w:lineRule="auto"/>
        <w:ind w:left="0" w:right="0" w:firstLine="0"/>
        <w:rPr>
          <w:rFonts w:ascii="Lato" w:hAnsi="Lato" w:cs="Arial"/>
          <w:color w:val="auto"/>
          <w:sz w:val="20"/>
          <w:szCs w:val="20"/>
        </w:rPr>
      </w:pPr>
      <w:r w:rsidRPr="006F497F">
        <w:rPr>
          <w:rFonts w:ascii="Lato" w:hAnsi="Lato" w:cs="Arial"/>
          <w:color w:val="auto"/>
          <w:sz w:val="20"/>
          <w:szCs w:val="20"/>
        </w:rPr>
        <w:t>Drzwi zewnętrzne, aluminiowe z samozamykaczem i zamkiem patentowym antywłamaniowym, szklone szybami bezpiecznymi zespolonymi antywłamaniowymi, o współczynniku przenikania ciepła dla całych drzwi U = 1,3 W/(m2K). Drzwi zewnętrzne uszczelnione u dołu. Montowane za pomocą ciepłego montażu przy użyciu taśm paroprzepuszczalnych od wewnątrz i paroszczelnych od zewnątrz, w dolnej części futrynę należy zabezpieczyć szczelnie przeciwwilgociowo kołnierzem EPDM. Osadzone na poszerzeniu systemowym. Drzwi w całości w kolorze RAL 7035.</w:t>
      </w:r>
    </w:p>
    <w:p w14:paraId="7B8A98C4" w14:textId="77777777" w:rsidR="00F13F88" w:rsidRPr="006F497F" w:rsidRDefault="00F13F88" w:rsidP="00F13F88">
      <w:pPr>
        <w:spacing w:after="0" w:line="240" w:lineRule="auto"/>
        <w:ind w:left="0" w:right="0" w:firstLine="0"/>
        <w:rPr>
          <w:rFonts w:ascii="Lato" w:hAnsi="Lato" w:cs="Arial"/>
          <w:color w:val="auto"/>
          <w:sz w:val="20"/>
          <w:szCs w:val="20"/>
        </w:rPr>
      </w:pPr>
    </w:p>
    <w:p w14:paraId="0F13A26C" w14:textId="77777777" w:rsidR="00F13F88" w:rsidRPr="006F497F" w:rsidRDefault="00F13F88" w:rsidP="00F13F88">
      <w:pPr>
        <w:spacing w:after="0" w:line="240" w:lineRule="auto"/>
        <w:ind w:left="0" w:right="0" w:firstLine="0"/>
        <w:rPr>
          <w:rFonts w:ascii="Lato" w:hAnsi="Lato" w:cs="Arial"/>
          <w:color w:val="auto"/>
          <w:sz w:val="20"/>
          <w:szCs w:val="20"/>
        </w:rPr>
      </w:pPr>
      <w:r w:rsidRPr="006F497F">
        <w:rPr>
          <w:rFonts w:ascii="Lato" w:hAnsi="Lato" w:cs="Arial"/>
          <w:color w:val="auto"/>
          <w:sz w:val="20"/>
          <w:szCs w:val="20"/>
        </w:rPr>
        <w:t xml:space="preserve">Drzwi wewnętrzne, aluminiowe z samozamykaczem i zamkiem zapadkowym. Osadzone na poszerzeniu systemowym z ościeżnicą stałą. Szklenie drzwi szkłem bezpiecznym VSG 44.2. Drzwi w całości w kolorze RAL 7035. </w:t>
      </w:r>
    </w:p>
    <w:p w14:paraId="7F4ACF97" w14:textId="77777777" w:rsidR="00F13F88" w:rsidRPr="006F497F" w:rsidRDefault="00F13F88" w:rsidP="00F13F88">
      <w:pPr>
        <w:spacing w:after="0" w:line="240" w:lineRule="auto"/>
        <w:ind w:left="0" w:right="0" w:firstLine="0"/>
        <w:rPr>
          <w:rFonts w:ascii="Lato" w:hAnsi="Lato" w:cs="Arial"/>
          <w:color w:val="auto"/>
          <w:sz w:val="20"/>
          <w:szCs w:val="20"/>
        </w:rPr>
      </w:pPr>
    </w:p>
    <w:p w14:paraId="740AC332" w14:textId="77777777" w:rsidR="00F13F88" w:rsidRPr="006F497F" w:rsidRDefault="00F13F88" w:rsidP="00F13F88">
      <w:pPr>
        <w:spacing w:after="0" w:line="240" w:lineRule="auto"/>
        <w:ind w:left="0" w:right="0" w:firstLine="0"/>
        <w:rPr>
          <w:rFonts w:ascii="Lato" w:hAnsi="Lato" w:cs="Arial"/>
          <w:color w:val="auto"/>
          <w:sz w:val="20"/>
          <w:szCs w:val="20"/>
        </w:rPr>
      </w:pPr>
      <w:r w:rsidRPr="006F497F">
        <w:rPr>
          <w:rFonts w:ascii="Lato" w:hAnsi="Lato" w:cs="Arial"/>
          <w:color w:val="auto"/>
          <w:sz w:val="20"/>
          <w:szCs w:val="20"/>
        </w:rPr>
        <w:t xml:space="preserve">Drzwi wewnętrzne z płyty wiórowej- otworowej wzmocnionej </w:t>
      </w:r>
      <w:proofErr w:type="spellStart"/>
      <w:r w:rsidRPr="006F497F">
        <w:rPr>
          <w:rFonts w:ascii="Lato" w:hAnsi="Lato" w:cs="Arial"/>
          <w:color w:val="auto"/>
          <w:sz w:val="20"/>
          <w:szCs w:val="20"/>
        </w:rPr>
        <w:t>wewn</w:t>
      </w:r>
      <w:proofErr w:type="spellEnd"/>
      <w:r w:rsidRPr="006F497F">
        <w:rPr>
          <w:rFonts w:ascii="Lato" w:hAnsi="Lato" w:cs="Arial"/>
          <w:color w:val="auto"/>
          <w:sz w:val="20"/>
          <w:szCs w:val="20"/>
        </w:rPr>
        <w:t>. ramiakiem. Skrzydło pokryte jest jasnoszarą okleiną HPL/CPL. Ościeżnica metalowa regulowana. Drzwi w całości w kolorze RAL7044.</w:t>
      </w:r>
    </w:p>
    <w:p w14:paraId="5BEF525E" w14:textId="77777777" w:rsidR="00F13F88" w:rsidRPr="006F497F" w:rsidRDefault="00F13F88" w:rsidP="00F13F88">
      <w:pPr>
        <w:spacing w:after="0" w:line="240" w:lineRule="auto"/>
        <w:ind w:left="0" w:right="0" w:firstLine="0"/>
        <w:rPr>
          <w:rFonts w:ascii="Lato" w:hAnsi="Lato" w:cs="Arial"/>
          <w:color w:val="auto"/>
          <w:sz w:val="20"/>
          <w:szCs w:val="20"/>
        </w:rPr>
      </w:pPr>
    </w:p>
    <w:p w14:paraId="0737CE12" w14:textId="77777777" w:rsidR="00F13F88" w:rsidRPr="006F497F" w:rsidRDefault="00F13F88" w:rsidP="00F13F88">
      <w:pPr>
        <w:spacing w:after="0" w:line="240" w:lineRule="auto"/>
        <w:ind w:left="0" w:right="0" w:firstLine="0"/>
        <w:rPr>
          <w:rFonts w:ascii="Lato" w:hAnsi="Lato" w:cs="Arial"/>
          <w:color w:val="auto"/>
          <w:sz w:val="20"/>
          <w:szCs w:val="20"/>
        </w:rPr>
      </w:pPr>
      <w:r w:rsidRPr="006F497F">
        <w:rPr>
          <w:rFonts w:ascii="Lato" w:hAnsi="Lato" w:cs="Arial"/>
          <w:color w:val="auto"/>
          <w:sz w:val="20"/>
          <w:szCs w:val="20"/>
        </w:rPr>
        <w:t xml:space="preserve">Drzwi wewnętrzne do łazienki dla dzieci z samozamykaczem, pełne jednoskrzydłowe z podcięciem went. o sumarycznym przekroju nie mniejszym niż 0,063m2 w dolnej części drzwi, z płyty wiórowej- otworowej wzmocnionej wewnątrz ramiakiem. Ościeżnica metalowa regulowana. Wyposażone w bulaj. Skrzydło pokryte jest okleiną HPL/CPL w kolorze RAL5024. </w:t>
      </w:r>
    </w:p>
    <w:p w14:paraId="02E94DED" w14:textId="77777777" w:rsidR="00F13F88" w:rsidRPr="006F497F" w:rsidRDefault="00F13F88" w:rsidP="00F13F88">
      <w:pPr>
        <w:spacing w:after="0" w:line="240" w:lineRule="auto"/>
        <w:ind w:left="0" w:right="0" w:firstLine="0"/>
        <w:rPr>
          <w:rFonts w:ascii="Lato" w:hAnsi="Lato" w:cs="Arial"/>
          <w:color w:val="auto"/>
          <w:sz w:val="20"/>
          <w:szCs w:val="20"/>
        </w:rPr>
      </w:pPr>
    </w:p>
    <w:p w14:paraId="4B5F3837" w14:textId="77777777" w:rsidR="00F13F88" w:rsidRPr="006F497F" w:rsidRDefault="00F13F88" w:rsidP="00F13F88">
      <w:pPr>
        <w:spacing w:after="0" w:line="240" w:lineRule="auto"/>
        <w:ind w:left="0" w:right="0" w:firstLine="0"/>
        <w:rPr>
          <w:rFonts w:ascii="Lato" w:hAnsi="Lato" w:cs="Arial"/>
          <w:color w:val="auto"/>
          <w:sz w:val="20"/>
          <w:szCs w:val="20"/>
        </w:rPr>
      </w:pPr>
      <w:r w:rsidRPr="006F497F">
        <w:rPr>
          <w:rFonts w:ascii="Lato" w:hAnsi="Lato" w:cs="Arial"/>
          <w:color w:val="auto"/>
          <w:sz w:val="20"/>
          <w:szCs w:val="20"/>
        </w:rPr>
        <w:t xml:space="preserve">Wszystkie drzwi i okna zastosowane w obiekcie powinny posiadać niezbędne Atesty oraz Karty techniczne. Wszystkie okna i drzwi powinny spełniać wymogi dotyczące izolacyjności termicznej i akustycznej. </w:t>
      </w:r>
    </w:p>
    <w:p w14:paraId="7052B930" w14:textId="24A2EEE4" w:rsidR="00E63C37" w:rsidRPr="006F497F" w:rsidRDefault="00F13F88" w:rsidP="00F13F88">
      <w:pPr>
        <w:spacing w:after="0" w:line="240" w:lineRule="auto"/>
        <w:ind w:left="0" w:right="0" w:firstLine="0"/>
        <w:rPr>
          <w:rFonts w:ascii="Lato" w:hAnsi="Lato" w:cs="Arial"/>
          <w:color w:val="auto"/>
          <w:sz w:val="20"/>
          <w:szCs w:val="20"/>
        </w:rPr>
      </w:pPr>
      <w:r w:rsidRPr="006F497F">
        <w:rPr>
          <w:rFonts w:ascii="Lato" w:hAnsi="Lato" w:cs="Arial"/>
          <w:color w:val="auto"/>
          <w:sz w:val="20"/>
          <w:szCs w:val="20"/>
        </w:rPr>
        <w:t>Wykonawca ma obowiązek sprawdzić przed zamówieniem i montażem czy otwory w ścianach są odpowiednio przygotowane do montażu elementów stolarki</w:t>
      </w:r>
      <w:r w:rsidR="006F497F">
        <w:rPr>
          <w:rFonts w:ascii="Lato" w:hAnsi="Lato" w:cs="Arial"/>
          <w:color w:val="auto"/>
          <w:sz w:val="20"/>
          <w:szCs w:val="20"/>
        </w:rPr>
        <w:t>.</w:t>
      </w:r>
    </w:p>
    <w:p w14:paraId="39154A0C" w14:textId="77777777" w:rsidR="00986A11" w:rsidRDefault="00986A11" w:rsidP="00F13F88">
      <w:pPr>
        <w:spacing w:after="0" w:line="240" w:lineRule="auto"/>
        <w:ind w:left="0" w:right="0" w:firstLine="0"/>
        <w:rPr>
          <w:rFonts w:ascii="Lato" w:hAnsi="Lato" w:cs="Arial"/>
          <w:color w:val="7030A0"/>
          <w:sz w:val="20"/>
          <w:szCs w:val="20"/>
        </w:rPr>
      </w:pPr>
    </w:p>
    <w:p w14:paraId="54EFE02B" w14:textId="77777777" w:rsidR="007F0A6F" w:rsidRPr="006F497F" w:rsidRDefault="00B259FF" w:rsidP="00922BBE">
      <w:pPr>
        <w:numPr>
          <w:ilvl w:val="2"/>
          <w:numId w:val="6"/>
        </w:numPr>
        <w:spacing w:after="0" w:line="248" w:lineRule="auto"/>
        <w:ind w:left="709" w:right="0" w:hanging="709"/>
        <w:rPr>
          <w:rFonts w:ascii="Lato" w:hAnsi="Lato" w:cs="Arial"/>
          <w:color w:val="auto"/>
          <w:sz w:val="20"/>
          <w:szCs w:val="20"/>
        </w:rPr>
      </w:pPr>
      <w:r w:rsidRPr="006F497F">
        <w:rPr>
          <w:rFonts w:ascii="Lato" w:hAnsi="Lato" w:cs="Arial"/>
          <w:color w:val="auto"/>
          <w:sz w:val="20"/>
          <w:szCs w:val="20"/>
        </w:rPr>
        <w:t>Parapety wewnętrzne i zewnętrzne</w:t>
      </w:r>
    </w:p>
    <w:p w14:paraId="1177AC96" w14:textId="260B2B5C" w:rsidR="007F0A6F" w:rsidRPr="006F497F" w:rsidRDefault="00B259FF" w:rsidP="00FB6E17">
      <w:pPr>
        <w:spacing w:after="0"/>
        <w:ind w:left="-5" w:right="0"/>
        <w:rPr>
          <w:rFonts w:ascii="Lato" w:hAnsi="Lato" w:cs="Arial"/>
          <w:color w:val="auto"/>
          <w:sz w:val="20"/>
          <w:szCs w:val="20"/>
        </w:rPr>
      </w:pPr>
      <w:r w:rsidRPr="006F497F">
        <w:rPr>
          <w:rFonts w:ascii="Lato" w:hAnsi="Lato" w:cs="Arial"/>
          <w:color w:val="auto"/>
          <w:sz w:val="20"/>
          <w:szCs w:val="20"/>
        </w:rPr>
        <w:t>Parapety zewnętrzne wykonane z blachy ocynkowanej powlekanej oraz wewnętrzne z</w:t>
      </w:r>
      <w:r w:rsidR="001D3FD5" w:rsidRPr="006F497F">
        <w:rPr>
          <w:rFonts w:ascii="Lato" w:hAnsi="Lato" w:cs="Arial"/>
          <w:color w:val="auto"/>
          <w:sz w:val="20"/>
          <w:szCs w:val="20"/>
        </w:rPr>
        <w:t xml:space="preserve"> konglomeratu</w:t>
      </w:r>
      <w:r w:rsidR="000A0C04" w:rsidRPr="006F497F">
        <w:rPr>
          <w:rFonts w:ascii="Lato" w:hAnsi="Lato" w:cs="Arial"/>
          <w:color w:val="auto"/>
          <w:sz w:val="20"/>
          <w:szCs w:val="20"/>
        </w:rPr>
        <w:t>.</w:t>
      </w:r>
    </w:p>
    <w:p w14:paraId="7F0AA7B2" w14:textId="77777777" w:rsidR="004452B9" w:rsidRPr="00C0396F" w:rsidRDefault="004452B9" w:rsidP="00FB6E17">
      <w:pPr>
        <w:spacing w:after="0"/>
        <w:ind w:left="-5" w:right="0"/>
        <w:rPr>
          <w:rFonts w:ascii="Lato" w:hAnsi="Lato" w:cs="Arial"/>
          <w:color w:val="4472C4" w:themeColor="accent1"/>
          <w:sz w:val="20"/>
          <w:szCs w:val="20"/>
        </w:rPr>
      </w:pPr>
    </w:p>
    <w:p w14:paraId="3724BD9A" w14:textId="77777777" w:rsidR="007F0A6F" w:rsidRPr="00C0396F" w:rsidRDefault="00B259FF" w:rsidP="00922BBE">
      <w:pPr>
        <w:numPr>
          <w:ilvl w:val="2"/>
          <w:numId w:val="6"/>
        </w:numPr>
        <w:spacing w:after="0" w:line="248" w:lineRule="auto"/>
        <w:ind w:left="709" w:right="0" w:hanging="709"/>
        <w:rPr>
          <w:rFonts w:ascii="Lato" w:hAnsi="Lato" w:cs="Arial"/>
          <w:color w:val="auto"/>
          <w:sz w:val="20"/>
          <w:szCs w:val="20"/>
        </w:rPr>
      </w:pPr>
      <w:r w:rsidRPr="00C0396F">
        <w:rPr>
          <w:rFonts w:ascii="Lato" w:hAnsi="Lato" w:cs="Arial"/>
          <w:color w:val="auto"/>
          <w:sz w:val="20"/>
          <w:szCs w:val="20"/>
        </w:rPr>
        <w:t>Materiały uszczelniające</w:t>
      </w:r>
    </w:p>
    <w:p w14:paraId="178A7EE3" w14:textId="77777777" w:rsidR="007F0A6F" w:rsidRPr="00C0396F" w:rsidRDefault="00B259FF" w:rsidP="00FB6E17">
      <w:pPr>
        <w:spacing w:after="0"/>
        <w:ind w:left="-5" w:right="0"/>
        <w:rPr>
          <w:rFonts w:ascii="Lato" w:hAnsi="Lato" w:cs="Arial"/>
          <w:color w:val="auto"/>
          <w:sz w:val="20"/>
          <w:szCs w:val="20"/>
        </w:rPr>
      </w:pPr>
      <w:r w:rsidRPr="00C0396F">
        <w:rPr>
          <w:rFonts w:ascii="Lato" w:hAnsi="Lato" w:cs="Arial"/>
          <w:color w:val="auto"/>
          <w:sz w:val="20"/>
          <w:szCs w:val="20"/>
        </w:rPr>
        <w:t>Do wykonywania uszczelnień między oknem lub drzwiami  a ścianą mogą być stosowane, w zależności od rodzaju uszczelnienia (zewnętrzne, środkowe – izolacja termiczna, wewnętrzne), materiały zestawione w tablicy 3.</w:t>
      </w:r>
    </w:p>
    <w:p w14:paraId="373277F2" w14:textId="77777777" w:rsidR="007F0A6F" w:rsidRPr="00C0396F" w:rsidRDefault="00B259FF" w:rsidP="00FB6E17">
      <w:pPr>
        <w:spacing w:after="0" w:line="248" w:lineRule="auto"/>
        <w:ind w:left="1259" w:right="0" w:hanging="1274"/>
        <w:rPr>
          <w:rFonts w:ascii="Lato" w:hAnsi="Lato" w:cs="Arial"/>
          <w:color w:val="auto"/>
          <w:sz w:val="20"/>
          <w:szCs w:val="20"/>
        </w:rPr>
      </w:pPr>
      <w:r w:rsidRPr="00C0396F">
        <w:rPr>
          <w:rFonts w:ascii="Lato" w:hAnsi="Lato" w:cs="Arial"/>
          <w:color w:val="auto"/>
          <w:sz w:val="20"/>
          <w:szCs w:val="20"/>
        </w:rPr>
        <w:t>Tablica 3. Materiały uszczelniające i izolacyjne stosowane do wypełniania szczelin między oknem lub drzwiami a ościeżem</w:t>
      </w:r>
    </w:p>
    <w:tbl>
      <w:tblPr>
        <w:tblStyle w:val="TableGrid"/>
        <w:tblW w:w="8906" w:type="dxa"/>
        <w:tblInd w:w="8" w:type="dxa"/>
        <w:tblCellMar>
          <w:top w:w="96" w:type="dxa"/>
          <w:left w:w="67" w:type="dxa"/>
          <w:right w:w="115" w:type="dxa"/>
        </w:tblCellMar>
        <w:tblLook w:val="04A0" w:firstRow="1" w:lastRow="0" w:firstColumn="1" w:lastColumn="0" w:noHBand="0" w:noVBand="1"/>
      </w:tblPr>
      <w:tblGrid>
        <w:gridCol w:w="3391"/>
        <w:gridCol w:w="2825"/>
        <w:gridCol w:w="2690"/>
      </w:tblGrid>
      <w:tr w:rsidR="00D00A58" w:rsidRPr="00C0396F" w14:paraId="3D95C9EF" w14:textId="77777777">
        <w:trPr>
          <w:trHeight w:val="530"/>
        </w:trPr>
        <w:tc>
          <w:tcPr>
            <w:tcW w:w="339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D9D9D9"/>
          </w:tcPr>
          <w:p w14:paraId="26306292" w14:textId="77777777" w:rsidR="007F0A6F" w:rsidRPr="00C0396F" w:rsidRDefault="00B259FF" w:rsidP="00FB6E17">
            <w:pPr>
              <w:spacing w:after="0" w:line="259" w:lineRule="auto"/>
              <w:ind w:left="48" w:right="0" w:firstLine="0"/>
              <w:jc w:val="center"/>
              <w:rPr>
                <w:rFonts w:ascii="Lato" w:hAnsi="Lato" w:cs="Arial"/>
                <w:color w:val="auto"/>
                <w:sz w:val="20"/>
                <w:szCs w:val="20"/>
              </w:rPr>
            </w:pPr>
            <w:r w:rsidRPr="00C0396F">
              <w:rPr>
                <w:rFonts w:ascii="Lato" w:hAnsi="Lato" w:cs="Arial"/>
                <w:color w:val="auto"/>
                <w:sz w:val="20"/>
                <w:szCs w:val="20"/>
              </w:rPr>
              <w:t>Warstwa zewnętrzna  (uszczelnienie)</w:t>
            </w:r>
          </w:p>
        </w:tc>
        <w:tc>
          <w:tcPr>
            <w:tcW w:w="282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D9D9D9"/>
          </w:tcPr>
          <w:p w14:paraId="294244D8" w14:textId="77777777" w:rsidR="007F0A6F" w:rsidRPr="00C0396F" w:rsidRDefault="00B259FF" w:rsidP="00FB6E17">
            <w:pPr>
              <w:spacing w:after="0" w:line="259" w:lineRule="auto"/>
              <w:ind w:left="0" w:right="0" w:firstLine="0"/>
              <w:jc w:val="center"/>
              <w:rPr>
                <w:rFonts w:ascii="Lato" w:hAnsi="Lato" w:cs="Arial"/>
                <w:color w:val="auto"/>
                <w:sz w:val="20"/>
                <w:szCs w:val="20"/>
              </w:rPr>
            </w:pPr>
            <w:r w:rsidRPr="00C0396F">
              <w:rPr>
                <w:rFonts w:ascii="Lato" w:hAnsi="Lato" w:cs="Arial"/>
                <w:color w:val="auto"/>
                <w:sz w:val="20"/>
                <w:szCs w:val="20"/>
              </w:rPr>
              <w:t>Warstwa środkowa  (izolacja termiczna)</w:t>
            </w:r>
          </w:p>
        </w:tc>
        <w:tc>
          <w:tcPr>
            <w:tcW w:w="269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D9D9D9"/>
          </w:tcPr>
          <w:p w14:paraId="6E57E915" w14:textId="77777777" w:rsidR="007F0A6F" w:rsidRPr="00C0396F" w:rsidRDefault="00B259FF" w:rsidP="00FB6E17">
            <w:pPr>
              <w:spacing w:after="0" w:line="259" w:lineRule="auto"/>
              <w:ind w:left="675" w:right="0" w:hanging="281"/>
              <w:jc w:val="left"/>
              <w:rPr>
                <w:rFonts w:ascii="Lato" w:hAnsi="Lato" w:cs="Arial"/>
                <w:color w:val="auto"/>
                <w:sz w:val="20"/>
                <w:szCs w:val="20"/>
              </w:rPr>
            </w:pPr>
            <w:r w:rsidRPr="00C0396F">
              <w:rPr>
                <w:rFonts w:ascii="Lato" w:hAnsi="Lato" w:cs="Arial"/>
                <w:color w:val="auto"/>
                <w:sz w:val="20"/>
                <w:szCs w:val="20"/>
              </w:rPr>
              <w:t>Warstwa wewnętrzna (uszczelnienie)</w:t>
            </w:r>
          </w:p>
        </w:tc>
      </w:tr>
      <w:tr w:rsidR="00D00A58" w:rsidRPr="00C0396F" w14:paraId="20636D25" w14:textId="77777777">
        <w:trPr>
          <w:trHeight w:val="1131"/>
        </w:trPr>
        <w:tc>
          <w:tcPr>
            <w:tcW w:w="339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670A0AE" w14:textId="77777777" w:rsidR="007F0A6F" w:rsidRPr="00C0396F" w:rsidRDefault="00B259FF" w:rsidP="00FB6E17">
            <w:pPr>
              <w:spacing w:after="0" w:line="218" w:lineRule="auto"/>
              <w:ind w:left="0" w:right="617" w:firstLine="0"/>
              <w:jc w:val="left"/>
              <w:rPr>
                <w:rFonts w:ascii="Lato" w:hAnsi="Lato" w:cs="Arial"/>
                <w:color w:val="auto"/>
                <w:sz w:val="20"/>
                <w:szCs w:val="20"/>
              </w:rPr>
            </w:pPr>
            <w:r w:rsidRPr="00C0396F">
              <w:rPr>
                <w:rFonts w:ascii="Lato" w:hAnsi="Lato" w:cs="Arial"/>
                <w:color w:val="auto"/>
                <w:sz w:val="20"/>
                <w:szCs w:val="20"/>
              </w:rPr>
              <w:t>Impregnowana taśma rozprężna paroprzepuszczalna Folia paroprzepuszczalna</w:t>
            </w:r>
          </w:p>
          <w:p w14:paraId="19D0F84C" w14:textId="77777777" w:rsidR="007F0A6F" w:rsidRPr="00C0396F" w:rsidRDefault="00B259FF" w:rsidP="00FB6E17">
            <w:pPr>
              <w:spacing w:after="0" w:line="259" w:lineRule="auto"/>
              <w:ind w:left="0" w:right="0" w:firstLine="0"/>
              <w:jc w:val="left"/>
              <w:rPr>
                <w:rFonts w:ascii="Lato" w:hAnsi="Lato" w:cs="Arial"/>
                <w:color w:val="auto"/>
                <w:sz w:val="20"/>
                <w:szCs w:val="20"/>
              </w:rPr>
            </w:pPr>
            <w:r w:rsidRPr="00C0396F">
              <w:rPr>
                <w:rFonts w:ascii="Lato" w:hAnsi="Lato" w:cs="Arial"/>
                <w:color w:val="auto"/>
                <w:sz w:val="20"/>
                <w:szCs w:val="20"/>
              </w:rPr>
              <w:t>Folia elastyczna paroprzepuszczalna</w:t>
            </w:r>
          </w:p>
          <w:p w14:paraId="00D24139" w14:textId="77777777" w:rsidR="007F0A6F" w:rsidRPr="00C0396F" w:rsidRDefault="00B259FF" w:rsidP="00FB6E17">
            <w:pPr>
              <w:spacing w:after="0" w:line="259" w:lineRule="auto"/>
              <w:ind w:left="0" w:right="0" w:firstLine="0"/>
              <w:jc w:val="left"/>
              <w:rPr>
                <w:rFonts w:ascii="Lato" w:hAnsi="Lato" w:cs="Arial"/>
                <w:color w:val="auto"/>
                <w:sz w:val="20"/>
                <w:szCs w:val="20"/>
              </w:rPr>
            </w:pPr>
            <w:r w:rsidRPr="00C0396F">
              <w:rPr>
                <w:rFonts w:ascii="Lato" w:hAnsi="Lato" w:cs="Arial"/>
                <w:color w:val="auto"/>
                <w:sz w:val="20"/>
                <w:szCs w:val="20"/>
              </w:rPr>
              <w:t>Kit trwale elastyczny</w:t>
            </w:r>
          </w:p>
        </w:tc>
        <w:tc>
          <w:tcPr>
            <w:tcW w:w="282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D1CD15F" w14:textId="77777777" w:rsidR="007F0A6F" w:rsidRPr="00C0396F" w:rsidRDefault="00B259FF" w:rsidP="00FB6E17">
            <w:pPr>
              <w:spacing w:after="0" w:line="259" w:lineRule="auto"/>
              <w:ind w:left="0" w:right="804" w:firstLine="0"/>
              <w:jc w:val="left"/>
              <w:rPr>
                <w:rFonts w:ascii="Lato" w:hAnsi="Lato" w:cs="Arial"/>
                <w:color w:val="auto"/>
                <w:sz w:val="20"/>
                <w:szCs w:val="20"/>
              </w:rPr>
            </w:pPr>
            <w:r w:rsidRPr="00C0396F">
              <w:rPr>
                <w:rFonts w:ascii="Lato" w:hAnsi="Lato" w:cs="Arial"/>
                <w:color w:val="auto"/>
                <w:sz w:val="20"/>
                <w:szCs w:val="20"/>
              </w:rPr>
              <w:t>Pianka poliuretanowa jednoskładnikowa Pianka poliuretanowa dwuskładnikowa Wełna mineralna</w:t>
            </w:r>
          </w:p>
        </w:tc>
        <w:tc>
          <w:tcPr>
            <w:tcW w:w="269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598DCB0" w14:textId="77777777" w:rsidR="007F0A6F" w:rsidRPr="00C0396F" w:rsidRDefault="00B259FF" w:rsidP="00FB6E17">
            <w:pPr>
              <w:spacing w:after="0" w:line="259" w:lineRule="auto"/>
              <w:ind w:left="0" w:right="0" w:firstLine="0"/>
              <w:jc w:val="left"/>
              <w:rPr>
                <w:rFonts w:ascii="Lato" w:hAnsi="Lato" w:cs="Arial"/>
                <w:color w:val="auto"/>
                <w:sz w:val="20"/>
                <w:szCs w:val="20"/>
              </w:rPr>
            </w:pPr>
            <w:r w:rsidRPr="00C0396F">
              <w:rPr>
                <w:rFonts w:ascii="Lato" w:hAnsi="Lato" w:cs="Arial"/>
                <w:color w:val="auto"/>
                <w:sz w:val="20"/>
                <w:szCs w:val="20"/>
              </w:rPr>
              <w:t>Folia do okien paroszczelna</w:t>
            </w:r>
          </w:p>
          <w:p w14:paraId="0457339B" w14:textId="77777777" w:rsidR="007F0A6F" w:rsidRPr="00C0396F" w:rsidRDefault="00B259FF" w:rsidP="00FB6E17">
            <w:pPr>
              <w:spacing w:after="0" w:line="259" w:lineRule="auto"/>
              <w:ind w:left="0" w:right="38" w:firstLine="0"/>
              <w:jc w:val="left"/>
              <w:rPr>
                <w:rFonts w:ascii="Lato" w:hAnsi="Lato" w:cs="Arial"/>
                <w:color w:val="auto"/>
                <w:sz w:val="20"/>
                <w:szCs w:val="20"/>
              </w:rPr>
            </w:pPr>
            <w:r w:rsidRPr="00C0396F">
              <w:rPr>
                <w:rFonts w:ascii="Lato" w:hAnsi="Lato" w:cs="Arial"/>
                <w:color w:val="auto"/>
                <w:sz w:val="20"/>
                <w:szCs w:val="20"/>
              </w:rPr>
              <w:t>Kit trwale elastyczny Impregnowana taśma rozprężna paroszczelna Taśma butylowa do okien</w:t>
            </w:r>
          </w:p>
        </w:tc>
      </w:tr>
    </w:tbl>
    <w:p w14:paraId="215EE1E3" w14:textId="77777777" w:rsidR="007F0A6F" w:rsidRPr="00C0396F" w:rsidRDefault="00B259FF" w:rsidP="00FB6E17">
      <w:pPr>
        <w:spacing w:after="0"/>
        <w:ind w:left="-15" w:right="0" w:firstLine="286"/>
        <w:rPr>
          <w:rFonts w:ascii="Lato" w:hAnsi="Lato" w:cs="Arial"/>
          <w:color w:val="auto"/>
          <w:sz w:val="20"/>
          <w:szCs w:val="20"/>
        </w:rPr>
      </w:pPr>
      <w:r w:rsidRPr="00C0396F">
        <w:rPr>
          <w:rFonts w:ascii="Lato" w:hAnsi="Lato" w:cs="Arial"/>
          <w:color w:val="auto"/>
          <w:sz w:val="20"/>
          <w:szCs w:val="20"/>
        </w:rPr>
        <w:t>Wymienione materiały nie mogą wydzielać szkodliwych substancji oraz wchodzić w reakcje chemiczne z otaczającymi je elementami i zmieniać właściwości pod wpływem temperatury.</w:t>
      </w:r>
    </w:p>
    <w:p w14:paraId="500C72D8" w14:textId="77777777" w:rsidR="007F0A6F" w:rsidRPr="00C0396F" w:rsidRDefault="00B259FF" w:rsidP="00FB6E17">
      <w:pPr>
        <w:spacing w:after="0"/>
        <w:ind w:left="-15" w:right="0" w:firstLine="286"/>
        <w:rPr>
          <w:rFonts w:ascii="Lato" w:hAnsi="Lato" w:cs="Arial"/>
          <w:color w:val="auto"/>
          <w:sz w:val="20"/>
          <w:szCs w:val="20"/>
        </w:rPr>
      </w:pPr>
      <w:r w:rsidRPr="00C0396F">
        <w:rPr>
          <w:rFonts w:ascii="Lato" w:hAnsi="Lato" w:cs="Arial"/>
          <w:color w:val="auto"/>
          <w:sz w:val="20"/>
          <w:szCs w:val="20"/>
        </w:rPr>
        <w:t>Stosowane materiały uszczelniające powinny być zgodne z rozwiązaniami przyjętymi w dokumentacji projektowej a także spełniać wymagania odpowiednich norm lub aprobat technicznych oraz zalecenia (wytyczne) producenta okien lub drzwi. 2.2.4. Inne wyroby i materiały</w:t>
      </w:r>
    </w:p>
    <w:p w14:paraId="089E96D9" w14:textId="77777777" w:rsidR="007F0A6F" w:rsidRPr="00C0396F" w:rsidRDefault="00B259FF" w:rsidP="00FB6E17">
      <w:pPr>
        <w:spacing w:after="0"/>
        <w:ind w:left="-5" w:right="0"/>
        <w:rPr>
          <w:rFonts w:ascii="Lato" w:hAnsi="Lato" w:cs="Arial"/>
          <w:color w:val="auto"/>
          <w:sz w:val="20"/>
          <w:szCs w:val="20"/>
        </w:rPr>
      </w:pPr>
      <w:r w:rsidRPr="00C0396F">
        <w:rPr>
          <w:rFonts w:ascii="Lato" w:hAnsi="Lato" w:cs="Arial"/>
          <w:color w:val="auto"/>
          <w:sz w:val="20"/>
          <w:szCs w:val="20"/>
        </w:rPr>
        <w:t>Przy montażu okien i/lub drzwi  stosuje się także inne wyroby i materiały:</w:t>
      </w:r>
    </w:p>
    <w:p w14:paraId="470DB628" w14:textId="77777777" w:rsidR="007F0A6F" w:rsidRPr="00C0396F" w:rsidRDefault="00B259FF" w:rsidP="00FB6E17">
      <w:pPr>
        <w:numPr>
          <w:ilvl w:val="0"/>
          <w:numId w:val="7"/>
        </w:numPr>
        <w:spacing w:after="0"/>
        <w:ind w:right="0" w:hanging="286"/>
        <w:rPr>
          <w:rFonts w:ascii="Lato" w:hAnsi="Lato" w:cs="Arial"/>
          <w:color w:val="auto"/>
          <w:sz w:val="20"/>
          <w:szCs w:val="20"/>
        </w:rPr>
      </w:pPr>
      <w:r w:rsidRPr="00C0396F">
        <w:rPr>
          <w:rFonts w:ascii="Lato" w:hAnsi="Lato" w:cs="Arial"/>
          <w:color w:val="auto"/>
          <w:sz w:val="20"/>
          <w:szCs w:val="20"/>
        </w:rPr>
        <w:t>elementy mocujące okno/drzwi  w ościeżu:</w:t>
      </w:r>
    </w:p>
    <w:p w14:paraId="741206A0" w14:textId="77777777" w:rsidR="007F0A6F" w:rsidRPr="00C0396F" w:rsidRDefault="00B259FF" w:rsidP="00FB6E17">
      <w:pPr>
        <w:numPr>
          <w:ilvl w:val="2"/>
          <w:numId w:val="8"/>
        </w:numPr>
        <w:spacing w:after="0"/>
        <w:ind w:left="572" w:right="0" w:hanging="286"/>
        <w:rPr>
          <w:rFonts w:ascii="Lato" w:hAnsi="Lato" w:cs="Arial"/>
          <w:color w:val="auto"/>
          <w:sz w:val="20"/>
          <w:szCs w:val="20"/>
        </w:rPr>
      </w:pPr>
      <w:r w:rsidRPr="00C0396F">
        <w:rPr>
          <w:rFonts w:ascii="Lato" w:hAnsi="Lato" w:cs="Arial"/>
          <w:color w:val="auto"/>
          <w:sz w:val="20"/>
          <w:szCs w:val="20"/>
        </w:rPr>
        <w:t>kołki rozporowe (dyble),</w:t>
      </w:r>
    </w:p>
    <w:p w14:paraId="7295301E" w14:textId="77777777" w:rsidR="007F0A6F" w:rsidRPr="00C0396F" w:rsidRDefault="00B259FF" w:rsidP="00FB6E17">
      <w:pPr>
        <w:numPr>
          <w:ilvl w:val="2"/>
          <w:numId w:val="8"/>
        </w:numPr>
        <w:spacing w:after="0"/>
        <w:ind w:left="572" w:right="0" w:hanging="286"/>
        <w:rPr>
          <w:rFonts w:ascii="Lato" w:hAnsi="Lato" w:cs="Arial"/>
          <w:color w:val="auto"/>
          <w:sz w:val="20"/>
          <w:szCs w:val="20"/>
        </w:rPr>
      </w:pPr>
      <w:r w:rsidRPr="00C0396F">
        <w:rPr>
          <w:rFonts w:ascii="Lato" w:hAnsi="Lato" w:cs="Arial"/>
          <w:color w:val="auto"/>
          <w:sz w:val="20"/>
          <w:szCs w:val="20"/>
        </w:rPr>
        <w:t>kotwy,</w:t>
      </w:r>
    </w:p>
    <w:p w14:paraId="6063E2D0" w14:textId="77777777" w:rsidR="007F0A6F" w:rsidRPr="00C0396F" w:rsidRDefault="00B259FF" w:rsidP="00FB6E17">
      <w:pPr>
        <w:numPr>
          <w:ilvl w:val="2"/>
          <w:numId w:val="8"/>
        </w:numPr>
        <w:spacing w:after="0"/>
        <w:ind w:left="572" w:right="0" w:hanging="286"/>
        <w:rPr>
          <w:rFonts w:ascii="Lato" w:hAnsi="Lato" w:cs="Arial"/>
          <w:color w:val="auto"/>
          <w:sz w:val="20"/>
          <w:szCs w:val="20"/>
        </w:rPr>
      </w:pPr>
      <w:r w:rsidRPr="00C0396F">
        <w:rPr>
          <w:rFonts w:ascii="Lato" w:hAnsi="Lato" w:cs="Arial"/>
          <w:color w:val="auto"/>
          <w:sz w:val="20"/>
          <w:szCs w:val="20"/>
        </w:rPr>
        <w:t>śruby, wkręty,</w:t>
      </w:r>
    </w:p>
    <w:p w14:paraId="73011F66" w14:textId="77777777" w:rsidR="007F0A6F" w:rsidRPr="00C0396F" w:rsidRDefault="00B259FF" w:rsidP="00FB6E17">
      <w:pPr>
        <w:numPr>
          <w:ilvl w:val="0"/>
          <w:numId w:val="7"/>
        </w:numPr>
        <w:spacing w:after="0" w:line="224" w:lineRule="auto"/>
        <w:ind w:right="0" w:hanging="286"/>
        <w:rPr>
          <w:rFonts w:ascii="Lato" w:hAnsi="Lato" w:cs="Arial"/>
          <w:color w:val="auto"/>
          <w:sz w:val="20"/>
          <w:szCs w:val="20"/>
        </w:rPr>
      </w:pPr>
      <w:r w:rsidRPr="00C0396F">
        <w:rPr>
          <w:rFonts w:ascii="Lato" w:hAnsi="Lato" w:cs="Arial"/>
          <w:color w:val="auto"/>
          <w:sz w:val="20"/>
          <w:szCs w:val="20"/>
        </w:rPr>
        <w:t>elementy podporowe i dystansowe: – klocki, belki drewniane, – podkładki, kątowniki stalowe,</w:t>
      </w:r>
    </w:p>
    <w:p w14:paraId="0D1E8418" w14:textId="77777777" w:rsidR="007F0A6F" w:rsidRPr="00C0396F" w:rsidRDefault="00B259FF" w:rsidP="00FB6E17">
      <w:pPr>
        <w:numPr>
          <w:ilvl w:val="0"/>
          <w:numId w:val="7"/>
        </w:numPr>
        <w:spacing w:after="0"/>
        <w:ind w:right="0" w:hanging="286"/>
        <w:rPr>
          <w:rFonts w:ascii="Lato" w:hAnsi="Lato" w:cs="Arial"/>
          <w:color w:val="auto"/>
          <w:sz w:val="20"/>
          <w:szCs w:val="20"/>
        </w:rPr>
      </w:pPr>
      <w:r w:rsidRPr="00C0396F">
        <w:rPr>
          <w:rFonts w:ascii="Lato" w:hAnsi="Lato" w:cs="Arial"/>
          <w:color w:val="auto"/>
          <w:sz w:val="20"/>
          <w:szCs w:val="20"/>
        </w:rPr>
        <w:t>elementy wykończeniowe:</w:t>
      </w:r>
    </w:p>
    <w:p w14:paraId="66BE3FE5" w14:textId="77777777" w:rsidR="007F0A6F" w:rsidRPr="00C0396F" w:rsidRDefault="00B259FF" w:rsidP="00FB6E17">
      <w:pPr>
        <w:numPr>
          <w:ilvl w:val="2"/>
          <w:numId w:val="9"/>
        </w:numPr>
        <w:spacing w:after="0"/>
        <w:ind w:left="572" w:right="0" w:hanging="286"/>
        <w:rPr>
          <w:rFonts w:ascii="Lato" w:hAnsi="Lato" w:cs="Arial"/>
          <w:color w:val="auto"/>
          <w:sz w:val="20"/>
          <w:szCs w:val="20"/>
        </w:rPr>
      </w:pPr>
      <w:r w:rsidRPr="00C0396F">
        <w:rPr>
          <w:rFonts w:ascii="Lato" w:hAnsi="Lato" w:cs="Arial"/>
          <w:color w:val="auto"/>
          <w:sz w:val="20"/>
          <w:szCs w:val="20"/>
        </w:rPr>
        <w:t>listwy maskujące połączenia okien w zestawy,</w:t>
      </w:r>
    </w:p>
    <w:p w14:paraId="2BA6105B" w14:textId="77777777" w:rsidR="007F0A6F" w:rsidRPr="00C0396F" w:rsidRDefault="00B259FF" w:rsidP="00FB6E17">
      <w:pPr>
        <w:numPr>
          <w:ilvl w:val="2"/>
          <w:numId w:val="9"/>
        </w:numPr>
        <w:spacing w:after="0"/>
        <w:ind w:left="572" w:right="0" w:hanging="286"/>
        <w:rPr>
          <w:rFonts w:ascii="Lato" w:hAnsi="Lato" w:cs="Arial"/>
          <w:color w:val="auto"/>
          <w:sz w:val="20"/>
          <w:szCs w:val="20"/>
        </w:rPr>
      </w:pPr>
      <w:r w:rsidRPr="00C0396F">
        <w:rPr>
          <w:rFonts w:ascii="Lato" w:hAnsi="Lato" w:cs="Arial"/>
          <w:color w:val="auto"/>
          <w:sz w:val="20"/>
          <w:szCs w:val="20"/>
        </w:rPr>
        <w:t>kątowniki, ćwierćwałki i listwy maskujące połączenie styku ramy i tynku ościeża.</w:t>
      </w:r>
    </w:p>
    <w:p w14:paraId="1CCE3692" w14:textId="77777777" w:rsidR="007F0A6F" w:rsidRPr="00C0396F" w:rsidRDefault="00B259FF" w:rsidP="00FB6E17">
      <w:pPr>
        <w:spacing w:after="0"/>
        <w:ind w:left="-15" w:right="0" w:firstLine="286"/>
        <w:rPr>
          <w:rFonts w:ascii="Lato" w:hAnsi="Lato" w:cs="Arial"/>
          <w:color w:val="auto"/>
          <w:sz w:val="20"/>
          <w:szCs w:val="20"/>
        </w:rPr>
      </w:pPr>
      <w:r w:rsidRPr="00C0396F">
        <w:rPr>
          <w:rFonts w:ascii="Lato" w:hAnsi="Lato" w:cs="Arial"/>
          <w:color w:val="auto"/>
          <w:sz w:val="20"/>
          <w:szCs w:val="20"/>
        </w:rPr>
        <w:t>Stosowane materiały i wyroby inne powinny być zgodne z rozwiązaniami przyjętymi w dokumentacji projektowej, a także spełniać wymagania odpowiednich norm lub aprobat technicznych oraz zalecenia (wytyczne) producenta okien lub drzwi.</w:t>
      </w:r>
    </w:p>
    <w:p w14:paraId="2E104BC4" w14:textId="66BE23E9" w:rsidR="007F0A6F" w:rsidRPr="00C0396F" w:rsidRDefault="00B259FF" w:rsidP="00FB6E17">
      <w:pPr>
        <w:spacing w:after="0"/>
        <w:ind w:left="-15" w:right="0" w:firstLine="286"/>
        <w:rPr>
          <w:rFonts w:ascii="Lato" w:hAnsi="Lato" w:cs="Arial"/>
          <w:color w:val="auto"/>
          <w:sz w:val="20"/>
          <w:szCs w:val="20"/>
        </w:rPr>
      </w:pPr>
      <w:r w:rsidRPr="00C0396F">
        <w:rPr>
          <w:rFonts w:ascii="Lato" w:hAnsi="Lato" w:cs="Arial"/>
          <w:color w:val="auto"/>
          <w:sz w:val="20"/>
          <w:szCs w:val="20"/>
        </w:rPr>
        <w:t>Elementy mocujące powinny być dostosowane do rodzaju ściany (monolityczna, warstwowa) oraz rodzaju okien i sposobu ich mocowania.</w:t>
      </w:r>
    </w:p>
    <w:p w14:paraId="2774A260" w14:textId="77777777" w:rsidR="00922BBE" w:rsidRPr="00C0396F" w:rsidRDefault="00922BBE" w:rsidP="00FB6E17">
      <w:pPr>
        <w:spacing w:after="0"/>
        <w:ind w:left="-15" w:right="0" w:firstLine="286"/>
        <w:rPr>
          <w:rFonts w:ascii="Lato" w:hAnsi="Lato" w:cs="Arial"/>
          <w:color w:val="auto"/>
          <w:sz w:val="20"/>
          <w:szCs w:val="20"/>
        </w:rPr>
      </w:pPr>
    </w:p>
    <w:p w14:paraId="62D71E42" w14:textId="77777777" w:rsidR="00922BBE" w:rsidRPr="00C0396F" w:rsidRDefault="00B259FF" w:rsidP="00922BBE">
      <w:pPr>
        <w:pStyle w:val="Akapitzlist"/>
        <w:spacing w:after="0"/>
        <w:ind w:left="451" w:right="0" w:firstLine="0"/>
        <w:rPr>
          <w:rFonts w:ascii="Lato" w:hAnsi="Lato" w:cs="Arial"/>
          <w:b/>
          <w:bCs/>
          <w:color w:val="auto"/>
          <w:sz w:val="20"/>
          <w:szCs w:val="20"/>
        </w:rPr>
      </w:pPr>
      <w:r w:rsidRPr="00C0396F">
        <w:rPr>
          <w:rFonts w:ascii="Lato" w:hAnsi="Lato" w:cs="Arial"/>
          <w:b/>
          <w:bCs/>
          <w:color w:val="auto"/>
          <w:sz w:val="20"/>
          <w:szCs w:val="20"/>
        </w:rPr>
        <w:t>2.3. Warunki przyjęcia na budowę materiałów i wyrobów do montażu okien i drzwi</w:t>
      </w:r>
      <w:r w:rsidR="00922BBE" w:rsidRPr="00C0396F">
        <w:rPr>
          <w:rFonts w:ascii="Lato" w:hAnsi="Lato" w:cs="Arial"/>
          <w:b/>
          <w:bCs/>
          <w:color w:val="auto"/>
          <w:sz w:val="20"/>
          <w:szCs w:val="20"/>
        </w:rPr>
        <w:t>.</w:t>
      </w:r>
    </w:p>
    <w:p w14:paraId="4237780B" w14:textId="207DDB1E" w:rsidR="007F0A6F" w:rsidRPr="00C0396F" w:rsidRDefault="00B259FF" w:rsidP="00FB6E17">
      <w:pPr>
        <w:spacing w:after="0"/>
        <w:ind w:left="-5" w:right="0"/>
        <w:rPr>
          <w:rFonts w:ascii="Lato" w:hAnsi="Lato" w:cs="Arial"/>
          <w:color w:val="auto"/>
          <w:sz w:val="20"/>
          <w:szCs w:val="20"/>
        </w:rPr>
      </w:pPr>
      <w:r w:rsidRPr="00C0396F">
        <w:rPr>
          <w:rFonts w:ascii="Lato" w:hAnsi="Lato" w:cs="Arial"/>
          <w:color w:val="auto"/>
          <w:sz w:val="20"/>
          <w:szCs w:val="20"/>
        </w:rPr>
        <w:t>Wyroby i materiały do montażu okien i drzwi  mogą być przyjęte na budowę, jeśli spełniają następujące warunki:</w:t>
      </w:r>
    </w:p>
    <w:p w14:paraId="65050FAA" w14:textId="77777777" w:rsidR="007F0A6F" w:rsidRPr="00C0396F" w:rsidRDefault="00B259FF" w:rsidP="00FB6E17">
      <w:pPr>
        <w:numPr>
          <w:ilvl w:val="0"/>
          <w:numId w:val="10"/>
        </w:numPr>
        <w:spacing w:after="0"/>
        <w:ind w:right="0" w:hanging="286"/>
        <w:rPr>
          <w:rFonts w:ascii="Lato" w:hAnsi="Lato" w:cs="Arial"/>
          <w:color w:val="auto"/>
          <w:sz w:val="20"/>
          <w:szCs w:val="20"/>
        </w:rPr>
      </w:pPr>
      <w:r w:rsidRPr="00C0396F">
        <w:rPr>
          <w:rFonts w:ascii="Lato" w:hAnsi="Lato" w:cs="Arial"/>
          <w:color w:val="auto"/>
          <w:sz w:val="20"/>
          <w:szCs w:val="20"/>
        </w:rPr>
        <w:t>są zgodne z ich wyszczególnieniem i charakterystyką podaną w dokumentacji projektowej i niniejszej specyfikacji technicznej,</w:t>
      </w:r>
    </w:p>
    <w:p w14:paraId="0E36EC84" w14:textId="77777777" w:rsidR="007F0A6F" w:rsidRPr="00C0396F" w:rsidRDefault="00B259FF" w:rsidP="00FB6E17">
      <w:pPr>
        <w:numPr>
          <w:ilvl w:val="0"/>
          <w:numId w:val="10"/>
        </w:numPr>
        <w:spacing w:after="0"/>
        <w:ind w:right="0" w:hanging="286"/>
        <w:rPr>
          <w:rFonts w:ascii="Lato" w:hAnsi="Lato" w:cs="Arial"/>
          <w:color w:val="auto"/>
          <w:sz w:val="20"/>
          <w:szCs w:val="20"/>
        </w:rPr>
      </w:pPr>
      <w:r w:rsidRPr="00C0396F">
        <w:rPr>
          <w:rFonts w:ascii="Lato" w:hAnsi="Lato" w:cs="Arial"/>
          <w:color w:val="auto"/>
          <w:sz w:val="20"/>
          <w:szCs w:val="20"/>
        </w:rPr>
        <w:t>każda jednostka ładunkowa lub partia okien i drzwi luzem jest zaopatrzona w etykietę identyfikacyjną,</w:t>
      </w:r>
    </w:p>
    <w:p w14:paraId="6C1C2BD0" w14:textId="77777777" w:rsidR="007F0A6F" w:rsidRPr="00C0396F" w:rsidRDefault="00B259FF" w:rsidP="00FB6E17">
      <w:pPr>
        <w:numPr>
          <w:ilvl w:val="0"/>
          <w:numId w:val="10"/>
        </w:numPr>
        <w:spacing w:after="0"/>
        <w:ind w:right="0" w:hanging="286"/>
        <w:rPr>
          <w:rFonts w:ascii="Lato" w:hAnsi="Lato" w:cs="Arial"/>
          <w:color w:val="auto"/>
          <w:sz w:val="20"/>
          <w:szCs w:val="20"/>
        </w:rPr>
      </w:pPr>
      <w:r w:rsidRPr="00C0396F">
        <w:rPr>
          <w:rFonts w:ascii="Lato" w:hAnsi="Lato" w:cs="Arial"/>
          <w:color w:val="auto"/>
          <w:sz w:val="20"/>
          <w:szCs w:val="20"/>
        </w:rPr>
        <w:t>wyroby i materiały konfekcjonowane są właściwie opakowane, firmowo zamknięte (bez oznak naruszenia zamknięcia) i oznakowane w sposób umożliwiający ich pełną identyfikację (pełna nazwa wyrobu, ewentualnie nazwa handlowa oraz symbol handlowy wyrobu),</w:t>
      </w:r>
    </w:p>
    <w:p w14:paraId="0FC9BCAE" w14:textId="77777777" w:rsidR="007F0A6F" w:rsidRPr="00C0396F" w:rsidRDefault="00B259FF" w:rsidP="00FB6E17">
      <w:pPr>
        <w:numPr>
          <w:ilvl w:val="0"/>
          <w:numId w:val="10"/>
        </w:numPr>
        <w:spacing w:after="0"/>
        <w:ind w:right="0" w:hanging="286"/>
        <w:rPr>
          <w:rFonts w:ascii="Lato" w:hAnsi="Lato" w:cs="Arial"/>
          <w:color w:val="auto"/>
          <w:sz w:val="20"/>
          <w:szCs w:val="20"/>
        </w:rPr>
      </w:pPr>
      <w:r w:rsidRPr="00C0396F">
        <w:rPr>
          <w:rFonts w:ascii="Lato" w:hAnsi="Lato" w:cs="Arial"/>
          <w:color w:val="auto"/>
          <w:sz w:val="20"/>
          <w:szCs w:val="20"/>
        </w:rPr>
        <w:t>spełniają wymagane właściwości wskazane odpowiednimi dokumentami odniesienia,</w:t>
      </w:r>
    </w:p>
    <w:p w14:paraId="49582B43" w14:textId="41ECF5B3" w:rsidR="007F0A6F" w:rsidRPr="00C0396F" w:rsidRDefault="00B259FF" w:rsidP="00FB6E17">
      <w:pPr>
        <w:numPr>
          <w:ilvl w:val="0"/>
          <w:numId w:val="10"/>
        </w:numPr>
        <w:spacing w:after="0"/>
        <w:ind w:right="0" w:hanging="286"/>
        <w:rPr>
          <w:rFonts w:ascii="Lato" w:hAnsi="Lato" w:cs="Arial"/>
          <w:color w:val="auto"/>
          <w:sz w:val="20"/>
          <w:szCs w:val="20"/>
        </w:rPr>
      </w:pPr>
      <w:r w:rsidRPr="00C0396F">
        <w:rPr>
          <w:rFonts w:ascii="Lato" w:hAnsi="Lato" w:cs="Arial"/>
          <w:color w:val="auto"/>
          <w:sz w:val="20"/>
          <w:szCs w:val="20"/>
        </w:rPr>
        <w:t>producent dostarczył dokumenty świadczące o dopuszczeniu do obrotu i powszechnego lub</w:t>
      </w:r>
      <w:r w:rsidR="00DD6A0C" w:rsidRPr="00C0396F">
        <w:rPr>
          <w:rFonts w:ascii="Lato" w:hAnsi="Lato" w:cs="Arial"/>
          <w:color w:val="auto"/>
          <w:sz w:val="20"/>
          <w:szCs w:val="20"/>
        </w:rPr>
        <w:t xml:space="preserve"> </w:t>
      </w:r>
      <w:r w:rsidRPr="00C0396F">
        <w:rPr>
          <w:rFonts w:ascii="Lato" w:hAnsi="Lato" w:cs="Arial"/>
          <w:color w:val="auto"/>
          <w:sz w:val="20"/>
          <w:szCs w:val="20"/>
        </w:rPr>
        <w:t>jednostkowego zastosowania wyrobów oraz karty techniczne (katalogowe) wyrobów lub firmowe wytyczne (zalecenia) stosowania wyrobów,</w:t>
      </w:r>
    </w:p>
    <w:p w14:paraId="56809130" w14:textId="3A9AAFAA" w:rsidR="007F0A6F" w:rsidRPr="00C0396F" w:rsidRDefault="00B259FF" w:rsidP="00FB6E17">
      <w:pPr>
        <w:numPr>
          <w:ilvl w:val="0"/>
          <w:numId w:val="10"/>
        </w:numPr>
        <w:spacing w:after="0"/>
        <w:ind w:right="0" w:hanging="286"/>
        <w:rPr>
          <w:rFonts w:ascii="Lato" w:hAnsi="Lato" w:cs="Arial"/>
          <w:color w:val="auto"/>
          <w:sz w:val="20"/>
          <w:szCs w:val="20"/>
        </w:rPr>
      </w:pPr>
      <w:r w:rsidRPr="00C0396F">
        <w:rPr>
          <w:rFonts w:ascii="Lato" w:hAnsi="Lato" w:cs="Arial"/>
          <w:color w:val="auto"/>
          <w:sz w:val="20"/>
          <w:szCs w:val="20"/>
        </w:rPr>
        <w:lastRenderedPageBreak/>
        <w:t>spełniają wymagania wynikające z ich terminu przydatności do użycia (termin zakończenia</w:t>
      </w:r>
      <w:r w:rsidR="00DD6A0C" w:rsidRPr="00C0396F">
        <w:rPr>
          <w:rFonts w:ascii="Lato" w:hAnsi="Lato" w:cs="Arial"/>
          <w:color w:val="auto"/>
          <w:sz w:val="20"/>
          <w:szCs w:val="20"/>
        </w:rPr>
        <w:t xml:space="preserve"> </w:t>
      </w:r>
      <w:r w:rsidRPr="00C0396F">
        <w:rPr>
          <w:rFonts w:ascii="Lato" w:hAnsi="Lato" w:cs="Arial"/>
          <w:color w:val="auto"/>
          <w:sz w:val="20"/>
          <w:szCs w:val="20"/>
        </w:rPr>
        <w:t>montażu okien i drzwi powinien się kończyć przed zakończeniem terminów przydatności do stosowania odpowiednich wyrobów).</w:t>
      </w:r>
    </w:p>
    <w:p w14:paraId="1D4ED534" w14:textId="0A187EE1" w:rsidR="007F0A6F" w:rsidRPr="00C0396F" w:rsidRDefault="00B259FF" w:rsidP="00FB6E17">
      <w:pPr>
        <w:spacing w:after="0" w:line="248" w:lineRule="auto"/>
        <w:ind w:left="-15" w:right="0" w:firstLine="286"/>
        <w:rPr>
          <w:rFonts w:ascii="Lato" w:hAnsi="Lato" w:cs="Arial"/>
          <w:color w:val="auto"/>
          <w:sz w:val="20"/>
          <w:szCs w:val="20"/>
        </w:rPr>
      </w:pPr>
      <w:r w:rsidRPr="00C0396F">
        <w:rPr>
          <w:rFonts w:ascii="Lato" w:hAnsi="Lato" w:cs="Arial"/>
          <w:color w:val="auto"/>
          <w:sz w:val="20"/>
          <w:szCs w:val="20"/>
        </w:rPr>
        <w:t>Przyjęcie wyrobów i materiałów na budowę powinno być potwierdzone wpisem do dziennika budowy lub protokołem przyjęcia materiałów.</w:t>
      </w:r>
    </w:p>
    <w:p w14:paraId="68C82A2B" w14:textId="77777777" w:rsidR="00922BBE" w:rsidRPr="00C0396F" w:rsidRDefault="00922BBE" w:rsidP="00FB6E17">
      <w:pPr>
        <w:spacing w:after="0" w:line="248" w:lineRule="auto"/>
        <w:ind w:left="-15" w:right="0" w:firstLine="286"/>
        <w:rPr>
          <w:rFonts w:ascii="Lato" w:hAnsi="Lato" w:cs="Arial"/>
          <w:color w:val="auto"/>
          <w:sz w:val="20"/>
          <w:szCs w:val="20"/>
        </w:rPr>
      </w:pPr>
    </w:p>
    <w:p w14:paraId="7455DB8B" w14:textId="77777777" w:rsidR="007F0A6F" w:rsidRPr="00C0396F" w:rsidRDefault="00B259FF" w:rsidP="00922BBE">
      <w:pPr>
        <w:pStyle w:val="Akapitzlist"/>
        <w:tabs>
          <w:tab w:val="center" w:pos="3402"/>
        </w:tabs>
        <w:spacing w:after="0" w:line="248" w:lineRule="auto"/>
        <w:ind w:left="451" w:right="0" w:firstLine="0"/>
        <w:jc w:val="left"/>
        <w:rPr>
          <w:rFonts w:ascii="Lato" w:hAnsi="Lato" w:cs="Arial"/>
          <w:b/>
          <w:bCs/>
          <w:color w:val="auto"/>
          <w:sz w:val="20"/>
          <w:szCs w:val="20"/>
        </w:rPr>
      </w:pPr>
      <w:r w:rsidRPr="00C0396F">
        <w:rPr>
          <w:rFonts w:ascii="Lato" w:hAnsi="Lato" w:cs="Arial"/>
          <w:b/>
          <w:bCs/>
          <w:color w:val="auto"/>
          <w:sz w:val="20"/>
          <w:szCs w:val="20"/>
        </w:rPr>
        <w:t>2.4.</w:t>
      </w:r>
      <w:r w:rsidRPr="00C0396F">
        <w:rPr>
          <w:rFonts w:ascii="Lato" w:hAnsi="Lato" w:cs="Arial"/>
          <w:b/>
          <w:bCs/>
          <w:color w:val="auto"/>
          <w:sz w:val="20"/>
          <w:szCs w:val="20"/>
        </w:rPr>
        <w:tab/>
        <w:t xml:space="preserve">Warunki przechowywania materiałów i wyrobów do montażu okien i drzwi </w:t>
      </w:r>
    </w:p>
    <w:p w14:paraId="1CD4516B" w14:textId="77777777" w:rsidR="007F0A6F" w:rsidRPr="00C0396F" w:rsidRDefault="00B259FF" w:rsidP="00FB6E17">
      <w:pPr>
        <w:spacing w:after="0"/>
        <w:ind w:left="-5" w:right="0"/>
        <w:rPr>
          <w:rFonts w:ascii="Lato" w:hAnsi="Lato" w:cs="Arial"/>
          <w:color w:val="auto"/>
          <w:sz w:val="20"/>
          <w:szCs w:val="20"/>
        </w:rPr>
      </w:pPr>
      <w:r w:rsidRPr="00C0396F">
        <w:rPr>
          <w:rFonts w:ascii="Lato" w:hAnsi="Lato" w:cs="Arial"/>
          <w:color w:val="auto"/>
          <w:sz w:val="20"/>
          <w:szCs w:val="20"/>
        </w:rPr>
        <w:t>Okna i drzwi  aluminiowe należy przechowywać zgodnie z wymaganiami określonymi przez ich producenta.</w:t>
      </w:r>
    </w:p>
    <w:p w14:paraId="18443B55" w14:textId="77777777" w:rsidR="007F0A6F" w:rsidRPr="00C0396F" w:rsidRDefault="00B259FF" w:rsidP="00FB6E17">
      <w:pPr>
        <w:spacing w:after="0"/>
        <w:ind w:left="-15" w:right="0" w:firstLine="286"/>
        <w:rPr>
          <w:rFonts w:ascii="Lato" w:hAnsi="Lato" w:cs="Arial"/>
          <w:color w:val="auto"/>
          <w:sz w:val="20"/>
          <w:szCs w:val="20"/>
        </w:rPr>
      </w:pPr>
      <w:r w:rsidRPr="00C0396F">
        <w:rPr>
          <w:rFonts w:ascii="Lato" w:hAnsi="Lato" w:cs="Arial"/>
          <w:color w:val="auto"/>
          <w:sz w:val="20"/>
          <w:szCs w:val="20"/>
        </w:rPr>
        <w:t>Okna i drzwi , z wyjątkiem wyrobów uformowanych w jednostki ładunkowe kontenerowe, należy przechowywać w magazynach półotwartych lub zamkniętych, suchych i przewiewnych, zabezpieczonych przez opadami atmosferycznymi.</w:t>
      </w:r>
    </w:p>
    <w:p w14:paraId="0CA4EDF8" w14:textId="77777777" w:rsidR="007F0A6F" w:rsidRPr="00C0396F" w:rsidRDefault="00B259FF" w:rsidP="00FB6E17">
      <w:pPr>
        <w:spacing w:after="0"/>
        <w:ind w:left="-15" w:right="0" w:firstLine="286"/>
        <w:rPr>
          <w:rFonts w:ascii="Lato" w:hAnsi="Lato" w:cs="Arial"/>
          <w:color w:val="auto"/>
          <w:sz w:val="20"/>
          <w:szCs w:val="20"/>
        </w:rPr>
      </w:pPr>
      <w:r w:rsidRPr="00C0396F">
        <w:rPr>
          <w:rFonts w:ascii="Lato" w:hAnsi="Lato" w:cs="Arial"/>
          <w:color w:val="auto"/>
          <w:sz w:val="20"/>
          <w:szCs w:val="20"/>
        </w:rPr>
        <w:t>Pozostałe wyroby i materiały powinny być przechowywane i magazynowane zgodnie z odpowiednimi instrukcjami producentów oraz wymaganiami właściwych dokumentów odniesienia tj. norm bądź aprobat technicznych.</w:t>
      </w:r>
    </w:p>
    <w:p w14:paraId="2E49FE83" w14:textId="77777777" w:rsidR="007F0A6F" w:rsidRPr="00C0396F" w:rsidRDefault="00B259FF" w:rsidP="00FB6E17">
      <w:pPr>
        <w:spacing w:after="0"/>
        <w:ind w:left="-15" w:right="0" w:firstLine="286"/>
        <w:rPr>
          <w:rFonts w:ascii="Lato" w:hAnsi="Lato" w:cs="Arial"/>
          <w:color w:val="auto"/>
          <w:sz w:val="20"/>
          <w:szCs w:val="20"/>
        </w:rPr>
      </w:pPr>
      <w:r w:rsidRPr="00C0396F">
        <w:rPr>
          <w:rFonts w:ascii="Lato" w:hAnsi="Lato" w:cs="Arial"/>
          <w:color w:val="auto"/>
          <w:sz w:val="20"/>
          <w:szCs w:val="20"/>
        </w:rPr>
        <w:t xml:space="preserve">Pomieszczenie magazynowe do przechowywania opakowanych pozostałych wyrobów i materiałów powinno być kryte, suche oraz zabezpieczone przez zawilgoceniem, opadami atmosferycznymi, przemarznięciem i przed działaniem promieni słonecznych. </w:t>
      </w:r>
    </w:p>
    <w:p w14:paraId="67B5C300" w14:textId="77777777" w:rsidR="007F0A6F" w:rsidRPr="00C0396F" w:rsidRDefault="00B259FF" w:rsidP="00FB6E17">
      <w:pPr>
        <w:spacing w:after="0"/>
        <w:ind w:left="-15" w:right="0" w:firstLine="286"/>
        <w:rPr>
          <w:rFonts w:ascii="Lato" w:hAnsi="Lato" w:cs="Arial"/>
          <w:color w:val="auto"/>
          <w:sz w:val="20"/>
          <w:szCs w:val="20"/>
        </w:rPr>
      </w:pPr>
      <w:r w:rsidRPr="00C0396F">
        <w:rPr>
          <w:rFonts w:ascii="Lato" w:hAnsi="Lato" w:cs="Arial"/>
          <w:color w:val="auto"/>
          <w:sz w:val="20"/>
          <w:szCs w:val="20"/>
        </w:rPr>
        <w:t>Wyroby konfekcjonowane powinny być przechowywane w oryginalnych, zamkniętych opakowaniach, w temperaturze powyżej +5°C a poniżej +35°C.</w:t>
      </w:r>
    </w:p>
    <w:p w14:paraId="4306C7EB" w14:textId="77777777" w:rsidR="007F0A6F" w:rsidRPr="00C0396F" w:rsidRDefault="00B259FF" w:rsidP="00FB6E17">
      <w:pPr>
        <w:spacing w:after="0"/>
        <w:ind w:left="-15" w:right="0" w:firstLine="286"/>
        <w:rPr>
          <w:rFonts w:ascii="Lato" w:hAnsi="Lato" w:cs="Arial"/>
          <w:color w:val="auto"/>
          <w:sz w:val="20"/>
          <w:szCs w:val="20"/>
        </w:rPr>
      </w:pPr>
      <w:r w:rsidRPr="00C0396F">
        <w:rPr>
          <w:rFonts w:ascii="Lato" w:hAnsi="Lato" w:cs="Arial"/>
          <w:color w:val="auto"/>
          <w:sz w:val="20"/>
          <w:szCs w:val="20"/>
        </w:rPr>
        <w:t xml:space="preserve">Podłogi we wszystkich pomieszczeniach magazynowych powinny być utwardzone, poziome, równe. Dopuszcza się w pomieszczeniach magazynowych półotwartych stosowanie nieutwardzonego podłoża, ale wówczas okna i/lub drzwi należy ustawiać na legarach ułożonych równolegle do siebie. Wysokość legarów powinna wynosić co najmniej 15 cm. Okna i/lub drzwi należy ustawiać w odległości co najmniej 1,0 m od czynnych urządzeń grzejnych. Należy je przechowywać w jednej lub kilku warstwach w sposób zabezpieczający je przed uszkodzeniami, przy zachowaniu warunków bezpieczeństwa. </w:t>
      </w:r>
    </w:p>
    <w:p w14:paraId="763051F1" w14:textId="6206A8CF" w:rsidR="007F0A6F" w:rsidRPr="00C0396F" w:rsidRDefault="00B259FF" w:rsidP="00FB6E17">
      <w:pPr>
        <w:spacing w:after="0"/>
        <w:ind w:left="-15" w:right="0" w:firstLine="286"/>
        <w:rPr>
          <w:rFonts w:ascii="Lato" w:hAnsi="Lato" w:cs="Arial"/>
          <w:color w:val="auto"/>
          <w:sz w:val="20"/>
          <w:szCs w:val="20"/>
        </w:rPr>
      </w:pPr>
      <w:r w:rsidRPr="00C0396F">
        <w:rPr>
          <w:rFonts w:ascii="Lato" w:hAnsi="Lato" w:cs="Arial"/>
          <w:color w:val="auto"/>
          <w:sz w:val="20"/>
          <w:szCs w:val="20"/>
        </w:rPr>
        <w:t>Sposób przechowywania okien i drzwi aluminiowych powinien być zgodny z wymaganiami ich producenta.</w:t>
      </w:r>
    </w:p>
    <w:p w14:paraId="3486EA56" w14:textId="77777777" w:rsidR="00922BBE" w:rsidRPr="00C0396F" w:rsidRDefault="00922BBE" w:rsidP="00FB6E17">
      <w:pPr>
        <w:spacing w:after="0"/>
        <w:ind w:left="-15" w:right="0" w:firstLine="286"/>
        <w:rPr>
          <w:rFonts w:ascii="Lato" w:hAnsi="Lato" w:cs="Arial"/>
          <w:color w:val="auto"/>
          <w:sz w:val="20"/>
          <w:szCs w:val="20"/>
        </w:rPr>
      </w:pPr>
    </w:p>
    <w:p w14:paraId="36C48702" w14:textId="03FBC7DC" w:rsidR="007F0A6F" w:rsidRPr="00C0396F" w:rsidRDefault="00B259FF" w:rsidP="00FB6E17">
      <w:pPr>
        <w:numPr>
          <w:ilvl w:val="0"/>
          <w:numId w:val="11"/>
        </w:numPr>
        <w:spacing w:after="0" w:line="248" w:lineRule="auto"/>
        <w:ind w:right="0" w:hanging="451"/>
        <w:rPr>
          <w:rFonts w:ascii="Lato" w:hAnsi="Lato" w:cs="Arial"/>
          <w:b/>
          <w:bCs/>
          <w:color w:val="auto"/>
          <w:sz w:val="20"/>
          <w:szCs w:val="20"/>
        </w:rPr>
      </w:pPr>
      <w:r w:rsidRPr="00C0396F">
        <w:rPr>
          <w:rFonts w:ascii="Lato" w:hAnsi="Lato" w:cs="Arial"/>
          <w:b/>
          <w:bCs/>
          <w:color w:val="auto"/>
          <w:sz w:val="20"/>
          <w:szCs w:val="20"/>
        </w:rPr>
        <w:t>WYMAGANIA DOTYCZĄCE SPRZĘTU, MASZYN I NARZĘDZI</w:t>
      </w:r>
    </w:p>
    <w:p w14:paraId="38A0EF4F" w14:textId="77777777" w:rsidR="00922BBE" w:rsidRPr="00C0396F" w:rsidRDefault="00922BBE" w:rsidP="00922BBE">
      <w:pPr>
        <w:spacing w:after="0" w:line="248" w:lineRule="auto"/>
        <w:ind w:left="451" w:right="0" w:firstLine="0"/>
        <w:rPr>
          <w:rFonts w:ascii="Lato" w:hAnsi="Lato" w:cs="Arial"/>
          <w:b/>
          <w:bCs/>
          <w:color w:val="auto"/>
          <w:sz w:val="20"/>
          <w:szCs w:val="20"/>
        </w:rPr>
      </w:pPr>
    </w:p>
    <w:p w14:paraId="2C7C2654" w14:textId="11096B31" w:rsidR="007F0A6F" w:rsidRPr="00C0396F" w:rsidRDefault="00B259FF" w:rsidP="00FB6E17">
      <w:pPr>
        <w:numPr>
          <w:ilvl w:val="1"/>
          <w:numId w:val="11"/>
        </w:numPr>
        <w:spacing w:after="0" w:line="248" w:lineRule="auto"/>
        <w:ind w:right="0" w:hanging="571"/>
        <w:rPr>
          <w:rFonts w:ascii="Lato" w:hAnsi="Lato" w:cs="Arial"/>
          <w:color w:val="auto"/>
          <w:sz w:val="20"/>
          <w:szCs w:val="20"/>
        </w:rPr>
      </w:pPr>
      <w:r w:rsidRPr="00C0396F">
        <w:rPr>
          <w:rFonts w:ascii="Lato" w:hAnsi="Lato" w:cs="Arial"/>
          <w:color w:val="auto"/>
          <w:sz w:val="20"/>
          <w:szCs w:val="20"/>
        </w:rPr>
        <w:t>Ogólne wymagania dotyczące sprzętu podano w ST „Wymagania ogólne” Kod CPV 45000000-7, pkt 3</w:t>
      </w:r>
    </w:p>
    <w:p w14:paraId="3161E0D6" w14:textId="77777777" w:rsidR="00922BBE" w:rsidRPr="00C0396F" w:rsidRDefault="00922BBE" w:rsidP="00922BBE">
      <w:pPr>
        <w:spacing w:after="0" w:line="248" w:lineRule="auto"/>
        <w:ind w:left="1291" w:right="0" w:firstLine="0"/>
        <w:rPr>
          <w:rFonts w:ascii="Lato" w:hAnsi="Lato" w:cs="Arial"/>
          <w:color w:val="auto"/>
          <w:sz w:val="20"/>
          <w:szCs w:val="20"/>
        </w:rPr>
      </w:pPr>
    </w:p>
    <w:p w14:paraId="31D72CBF" w14:textId="77777777" w:rsidR="007F0A6F" w:rsidRPr="00C0396F" w:rsidRDefault="00B259FF" w:rsidP="00FB6E17">
      <w:pPr>
        <w:numPr>
          <w:ilvl w:val="1"/>
          <w:numId w:val="11"/>
        </w:numPr>
        <w:spacing w:after="0" w:line="248" w:lineRule="auto"/>
        <w:ind w:right="0" w:hanging="571"/>
        <w:rPr>
          <w:rFonts w:ascii="Lato" w:hAnsi="Lato" w:cs="Arial"/>
          <w:b/>
          <w:bCs/>
          <w:color w:val="auto"/>
          <w:sz w:val="20"/>
          <w:szCs w:val="20"/>
        </w:rPr>
      </w:pPr>
      <w:r w:rsidRPr="00C0396F">
        <w:rPr>
          <w:rFonts w:ascii="Lato" w:hAnsi="Lato" w:cs="Arial"/>
          <w:b/>
          <w:bCs/>
          <w:color w:val="auto"/>
          <w:sz w:val="20"/>
          <w:szCs w:val="20"/>
        </w:rPr>
        <w:t>Sprzęt i narzędzia do montażu okien i drzwi</w:t>
      </w:r>
    </w:p>
    <w:p w14:paraId="26DC7920" w14:textId="77777777" w:rsidR="007F0A6F" w:rsidRPr="00C0396F" w:rsidRDefault="00B259FF" w:rsidP="00FB6E17">
      <w:pPr>
        <w:spacing w:after="0"/>
        <w:ind w:left="-5" w:right="0"/>
        <w:rPr>
          <w:rFonts w:ascii="Lato" w:hAnsi="Lato" w:cs="Arial"/>
          <w:color w:val="auto"/>
          <w:sz w:val="20"/>
          <w:szCs w:val="20"/>
        </w:rPr>
      </w:pPr>
      <w:r w:rsidRPr="00C0396F">
        <w:rPr>
          <w:rFonts w:ascii="Lato" w:hAnsi="Lato" w:cs="Arial"/>
          <w:color w:val="auto"/>
          <w:sz w:val="20"/>
          <w:szCs w:val="20"/>
        </w:rPr>
        <w:t>Montaż okien i drzwi  nie wymaga stosowania specjalistycznego sprzętu.</w:t>
      </w:r>
    </w:p>
    <w:p w14:paraId="731F7D04" w14:textId="77777777" w:rsidR="007F0A6F" w:rsidRPr="00C0396F" w:rsidRDefault="00B259FF" w:rsidP="00FB6E17">
      <w:pPr>
        <w:spacing w:after="0"/>
        <w:ind w:left="-15" w:right="0" w:firstLine="286"/>
        <w:rPr>
          <w:rFonts w:ascii="Lato" w:hAnsi="Lato" w:cs="Arial"/>
          <w:color w:val="auto"/>
          <w:sz w:val="20"/>
          <w:szCs w:val="20"/>
        </w:rPr>
      </w:pPr>
      <w:r w:rsidRPr="00C0396F">
        <w:rPr>
          <w:rFonts w:ascii="Lato" w:hAnsi="Lato" w:cs="Arial"/>
          <w:color w:val="auto"/>
          <w:sz w:val="20"/>
          <w:szCs w:val="20"/>
        </w:rPr>
        <w:t>Wykonawca jest zobowiązany do używania takich narzędzi i sprzętu, które nie spowodują niekorzystnego wpływu na jakość materiałów i wykonywanych robót oraz będą przyjazne dla środowiska, a także bezpieczne dla brygad roboczych wykonujących montaż okien i drzwi. Przy doborze narzędzi i sprzętu należy uwzględnić wymagania producenta stosowanych materiałów i wyrobów.</w:t>
      </w:r>
    </w:p>
    <w:p w14:paraId="1A0BEBBB" w14:textId="77777777" w:rsidR="007F0A6F" w:rsidRPr="00C0396F" w:rsidRDefault="00B259FF" w:rsidP="00FB6E17">
      <w:pPr>
        <w:spacing w:after="0"/>
        <w:ind w:left="-15" w:right="0" w:firstLine="286"/>
        <w:rPr>
          <w:rFonts w:ascii="Lato" w:hAnsi="Lato" w:cs="Arial"/>
          <w:color w:val="auto"/>
          <w:sz w:val="20"/>
          <w:szCs w:val="20"/>
        </w:rPr>
      </w:pPr>
      <w:r w:rsidRPr="00C0396F">
        <w:rPr>
          <w:rFonts w:ascii="Lato" w:hAnsi="Lato" w:cs="Arial"/>
          <w:color w:val="auto"/>
          <w:sz w:val="20"/>
          <w:szCs w:val="20"/>
        </w:rPr>
        <w:t>Przy montażu okien i drzwi  należy wykorzystywać odpowiednie narzędzie, elektronarzędzia i sprzęt do:</w:t>
      </w:r>
    </w:p>
    <w:p w14:paraId="565F205A" w14:textId="77777777" w:rsidR="007F0A6F" w:rsidRPr="00C0396F" w:rsidRDefault="00B259FF" w:rsidP="00FB6E17">
      <w:pPr>
        <w:numPr>
          <w:ilvl w:val="0"/>
          <w:numId w:val="12"/>
        </w:numPr>
        <w:spacing w:after="0"/>
        <w:ind w:right="0" w:hanging="286"/>
        <w:rPr>
          <w:rFonts w:ascii="Lato" w:hAnsi="Lato" w:cs="Arial"/>
          <w:color w:val="auto"/>
          <w:sz w:val="20"/>
          <w:szCs w:val="20"/>
        </w:rPr>
      </w:pPr>
      <w:r w:rsidRPr="00C0396F">
        <w:rPr>
          <w:rFonts w:ascii="Lato" w:hAnsi="Lato" w:cs="Arial"/>
          <w:color w:val="auto"/>
          <w:sz w:val="20"/>
          <w:szCs w:val="20"/>
        </w:rPr>
        <w:t>sprawdzania wymiarów i płaszczyzn,</w:t>
      </w:r>
    </w:p>
    <w:p w14:paraId="1A68F81C" w14:textId="77777777" w:rsidR="007F0A6F" w:rsidRPr="00C0396F" w:rsidRDefault="00B259FF" w:rsidP="00FB6E17">
      <w:pPr>
        <w:numPr>
          <w:ilvl w:val="0"/>
          <w:numId w:val="12"/>
        </w:numPr>
        <w:spacing w:after="0"/>
        <w:ind w:right="0" w:hanging="286"/>
        <w:rPr>
          <w:rFonts w:ascii="Lato" w:hAnsi="Lato" w:cs="Arial"/>
          <w:color w:val="auto"/>
          <w:sz w:val="20"/>
          <w:szCs w:val="20"/>
        </w:rPr>
      </w:pPr>
      <w:r w:rsidRPr="00C0396F">
        <w:rPr>
          <w:rFonts w:ascii="Lato" w:hAnsi="Lato" w:cs="Arial"/>
          <w:color w:val="auto"/>
          <w:sz w:val="20"/>
          <w:szCs w:val="20"/>
        </w:rPr>
        <w:t>wiercenia otworów oraz ustawienia i zamocowania okien lub drzwi w ościeżach,</w:t>
      </w:r>
    </w:p>
    <w:p w14:paraId="480314BA" w14:textId="77777777" w:rsidR="007F0A6F" w:rsidRPr="00C0396F" w:rsidRDefault="00B259FF" w:rsidP="00FB6E17">
      <w:pPr>
        <w:numPr>
          <w:ilvl w:val="0"/>
          <w:numId w:val="12"/>
        </w:numPr>
        <w:spacing w:after="0"/>
        <w:ind w:right="0" w:hanging="286"/>
        <w:rPr>
          <w:rFonts w:ascii="Lato" w:hAnsi="Lato" w:cs="Arial"/>
          <w:color w:val="auto"/>
          <w:sz w:val="20"/>
          <w:szCs w:val="20"/>
        </w:rPr>
      </w:pPr>
      <w:r w:rsidRPr="00C0396F">
        <w:rPr>
          <w:rFonts w:ascii="Lato" w:hAnsi="Lato" w:cs="Arial"/>
          <w:color w:val="auto"/>
          <w:sz w:val="20"/>
          <w:szCs w:val="20"/>
        </w:rPr>
        <w:t>transportu technologicznego wyrobów,</w:t>
      </w:r>
    </w:p>
    <w:p w14:paraId="393EF325" w14:textId="7DC7F86C" w:rsidR="007F0A6F" w:rsidRPr="00C0396F" w:rsidRDefault="00B259FF" w:rsidP="00FB6E17">
      <w:pPr>
        <w:numPr>
          <w:ilvl w:val="0"/>
          <w:numId w:val="12"/>
        </w:numPr>
        <w:spacing w:after="0"/>
        <w:ind w:right="0" w:hanging="286"/>
        <w:rPr>
          <w:rFonts w:ascii="Lato" w:hAnsi="Lato" w:cs="Arial"/>
          <w:color w:val="auto"/>
          <w:sz w:val="20"/>
          <w:szCs w:val="20"/>
        </w:rPr>
      </w:pPr>
      <w:r w:rsidRPr="00C0396F">
        <w:rPr>
          <w:rFonts w:ascii="Lato" w:hAnsi="Lato" w:cs="Arial"/>
          <w:color w:val="auto"/>
          <w:sz w:val="20"/>
          <w:szCs w:val="20"/>
        </w:rPr>
        <w:t>wykonywania montażu na wysokości wymagającej użycia rusztowań.</w:t>
      </w:r>
    </w:p>
    <w:p w14:paraId="7B924F60" w14:textId="77777777" w:rsidR="00922BBE" w:rsidRPr="00C0396F" w:rsidRDefault="00922BBE" w:rsidP="00922BBE">
      <w:pPr>
        <w:spacing w:after="0"/>
        <w:ind w:left="286" w:right="0" w:firstLine="0"/>
        <w:rPr>
          <w:rFonts w:ascii="Lato" w:hAnsi="Lato" w:cs="Arial"/>
          <w:color w:val="auto"/>
          <w:sz w:val="20"/>
          <w:szCs w:val="20"/>
        </w:rPr>
      </w:pPr>
    </w:p>
    <w:p w14:paraId="3F02A889" w14:textId="1D269E25" w:rsidR="007F0A6F" w:rsidRPr="00C0396F" w:rsidRDefault="00B259FF" w:rsidP="00FB6E17">
      <w:pPr>
        <w:numPr>
          <w:ilvl w:val="0"/>
          <w:numId w:val="13"/>
        </w:numPr>
        <w:spacing w:after="0" w:line="248" w:lineRule="auto"/>
        <w:ind w:right="0" w:hanging="451"/>
        <w:rPr>
          <w:rFonts w:ascii="Lato" w:hAnsi="Lato" w:cs="Arial"/>
          <w:b/>
          <w:bCs/>
          <w:color w:val="auto"/>
          <w:sz w:val="20"/>
          <w:szCs w:val="20"/>
        </w:rPr>
      </w:pPr>
      <w:r w:rsidRPr="00C0396F">
        <w:rPr>
          <w:rFonts w:ascii="Lato" w:hAnsi="Lato" w:cs="Arial"/>
          <w:b/>
          <w:bCs/>
          <w:color w:val="auto"/>
          <w:sz w:val="20"/>
          <w:szCs w:val="20"/>
        </w:rPr>
        <w:t>WYMAGANIA DOTYCZĄCE TRANSPORTU</w:t>
      </w:r>
    </w:p>
    <w:p w14:paraId="6D8DBD1E" w14:textId="77777777" w:rsidR="00922BBE" w:rsidRPr="00C0396F" w:rsidRDefault="00922BBE" w:rsidP="00922BBE">
      <w:pPr>
        <w:spacing w:after="0" w:line="248" w:lineRule="auto"/>
        <w:ind w:left="451" w:right="0" w:firstLine="0"/>
        <w:rPr>
          <w:rFonts w:ascii="Lato" w:hAnsi="Lato" w:cs="Arial"/>
          <w:b/>
          <w:bCs/>
          <w:color w:val="auto"/>
          <w:sz w:val="20"/>
          <w:szCs w:val="20"/>
        </w:rPr>
      </w:pPr>
    </w:p>
    <w:p w14:paraId="64085E4B" w14:textId="719D1345" w:rsidR="007F0A6F" w:rsidRPr="00C0396F" w:rsidRDefault="00B259FF" w:rsidP="00FB6E17">
      <w:pPr>
        <w:numPr>
          <w:ilvl w:val="1"/>
          <w:numId w:val="13"/>
        </w:numPr>
        <w:spacing w:after="0" w:line="248" w:lineRule="auto"/>
        <w:ind w:right="0" w:hanging="571"/>
        <w:rPr>
          <w:rFonts w:ascii="Lato" w:hAnsi="Lato" w:cs="Arial"/>
          <w:color w:val="auto"/>
          <w:sz w:val="20"/>
          <w:szCs w:val="20"/>
        </w:rPr>
      </w:pPr>
      <w:r w:rsidRPr="00C0396F">
        <w:rPr>
          <w:rFonts w:ascii="Lato" w:hAnsi="Lato" w:cs="Arial"/>
          <w:color w:val="auto"/>
          <w:sz w:val="20"/>
          <w:szCs w:val="20"/>
        </w:rPr>
        <w:t>Ogólne wymagania dotyczące transportu podano w ST „Wymagania ogólne” Kod CPV 45000000-7, pkt 4</w:t>
      </w:r>
    </w:p>
    <w:p w14:paraId="31F92325" w14:textId="77777777" w:rsidR="00922BBE" w:rsidRPr="00C0396F" w:rsidRDefault="00922BBE" w:rsidP="00922BBE">
      <w:pPr>
        <w:spacing w:after="0" w:line="248" w:lineRule="auto"/>
        <w:ind w:left="1291" w:right="0" w:firstLine="0"/>
        <w:rPr>
          <w:rFonts w:ascii="Lato" w:hAnsi="Lato" w:cs="Arial"/>
          <w:color w:val="auto"/>
          <w:sz w:val="20"/>
          <w:szCs w:val="20"/>
        </w:rPr>
      </w:pPr>
    </w:p>
    <w:p w14:paraId="30164AE0" w14:textId="77777777" w:rsidR="007F0A6F" w:rsidRPr="00C0396F" w:rsidRDefault="00B259FF" w:rsidP="00FB6E17">
      <w:pPr>
        <w:numPr>
          <w:ilvl w:val="1"/>
          <w:numId w:val="13"/>
        </w:numPr>
        <w:spacing w:after="0" w:line="248" w:lineRule="auto"/>
        <w:ind w:right="0" w:hanging="571"/>
        <w:rPr>
          <w:rFonts w:ascii="Lato" w:hAnsi="Lato" w:cs="Arial"/>
          <w:color w:val="auto"/>
          <w:sz w:val="20"/>
          <w:szCs w:val="20"/>
        </w:rPr>
      </w:pPr>
      <w:r w:rsidRPr="00C0396F">
        <w:rPr>
          <w:rFonts w:ascii="Lato" w:hAnsi="Lato" w:cs="Arial"/>
          <w:color w:val="auto"/>
          <w:sz w:val="20"/>
          <w:szCs w:val="20"/>
        </w:rPr>
        <w:t>Wymagania szczegółowe dotyczące środków transportu</w:t>
      </w:r>
    </w:p>
    <w:p w14:paraId="62432EDE" w14:textId="77777777" w:rsidR="007F0A6F" w:rsidRPr="00C0396F" w:rsidRDefault="00B259FF" w:rsidP="00FB6E17">
      <w:pPr>
        <w:spacing w:after="0"/>
        <w:ind w:left="-5" w:right="0"/>
        <w:rPr>
          <w:rFonts w:ascii="Lato" w:hAnsi="Lato" w:cs="Arial"/>
          <w:color w:val="auto"/>
          <w:sz w:val="20"/>
          <w:szCs w:val="20"/>
        </w:rPr>
      </w:pPr>
      <w:r w:rsidRPr="00C0396F">
        <w:rPr>
          <w:rFonts w:ascii="Lato" w:hAnsi="Lato" w:cs="Arial"/>
          <w:color w:val="auto"/>
          <w:sz w:val="20"/>
          <w:szCs w:val="20"/>
        </w:rPr>
        <w:t>Wyroby i materiały do montażu okien i drzwi mogą być przewożone jednostkami samochodowymi.</w:t>
      </w:r>
    </w:p>
    <w:p w14:paraId="4669DD07" w14:textId="77777777" w:rsidR="007F0A6F" w:rsidRPr="00C0396F" w:rsidRDefault="00B259FF" w:rsidP="00FB6E17">
      <w:pPr>
        <w:spacing w:after="0"/>
        <w:ind w:left="-15" w:right="0" w:firstLine="286"/>
        <w:rPr>
          <w:rFonts w:ascii="Lato" w:hAnsi="Lato" w:cs="Arial"/>
          <w:color w:val="auto"/>
          <w:sz w:val="20"/>
          <w:szCs w:val="20"/>
        </w:rPr>
      </w:pPr>
      <w:r w:rsidRPr="00C0396F">
        <w:rPr>
          <w:rFonts w:ascii="Lato" w:hAnsi="Lato" w:cs="Arial"/>
          <w:color w:val="auto"/>
          <w:sz w:val="20"/>
          <w:szCs w:val="20"/>
        </w:rPr>
        <w:t>Wymagania dotyczące środków transportu oraz zasady ładowania i zabezpieczania okien i drzwi w środkach transportu powinny być zgodne z wymogami podanymi w normie PN-B-0500 oraz z wytycznymi (zaleceniami) producenta.</w:t>
      </w:r>
    </w:p>
    <w:p w14:paraId="66514256" w14:textId="3DC61DA1" w:rsidR="007F0A6F" w:rsidRPr="00C0396F" w:rsidRDefault="00B259FF" w:rsidP="00FB6E17">
      <w:pPr>
        <w:spacing w:after="0"/>
        <w:ind w:left="-15" w:right="0" w:firstLine="286"/>
        <w:rPr>
          <w:rFonts w:ascii="Lato" w:hAnsi="Lato" w:cs="Arial"/>
          <w:color w:val="auto"/>
          <w:sz w:val="20"/>
          <w:szCs w:val="20"/>
        </w:rPr>
      </w:pPr>
      <w:r w:rsidRPr="00C0396F">
        <w:rPr>
          <w:rFonts w:ascii="Lato" w:hAnsi="Lato" w:cs="Arial"/>
          <w:color w:val="auto"/>
          <w:sz w:val="20"/>
          <w:szCs w:val="20"/>
        </w:rPr>
        <w:t>Warunki transportu pozostałych wyrobów i materiałów powinny być zgodne z wymaganiami norm przedmiotowych dotyczących tych wyrobów i wytycznymi (zaleceniami) producenta.</w:t>
      </w:r>
    </w:p>
    <w:p w14:paraId="746B857F" w14:textId="77777777" w:rsidR="00922BBE" w:rsidRPr="00C0396F" w:rsidRDefault="00922BBE" w:rsidP="00FB6E17">
      <w:pPr>
        <w:spacing w:after="0"/>
        <w:ind w:left="-15" w:right="0" w:firstLine="286"/>
        <w:rPr>
          <w:rFonts w:ascii="Lato" w:hAnsi="Lato" w:cs="Arial"/>
          <w:color w:val="auto"/>
          <w:sz w:val="20"/>
          <w:szCs w:val="20"/>
        </w:rPr>
      </w:pPr>
    </w:p>
    <w:p w14:paraId="566AD38E" w14:textId="77777777" w:rsidR="007F0A6F" w:rsidRPr="00C0396F" w:rsidRDefault="00B259FF" w:rsidP="00FB6E17">
      <w:pPr>
        <w:numPr>
          <w:ilvl w:val="1"/>
          <w:numId w:val="13"/>
        </w:numPr>
        <w:spacing w:after="0" w:line="248" w:lineRule="auto"/>
        <w:ind w:right="0" w:hanging="571"/>
        <w:rPr>
          <w:rFonts w:ascii="Lato" w:hAnsi="Lato" w:cs="Arial"/>
          <w:b/>
          <w:bCs/>
          <w:color w:val="auto"/>
          <w:sz w:val="20"/>
          <w:szCs w:val="20"/>
        </w:rPr>
      </w:pPr>
      <w:r w:rsidRPr="00C0396F">
        <w:rPr>
          <w:rFonts w:ascii="Lato" w:hAnsi="Lato" w:cs="Arial"/>
          <w:b/>
          <w:bCs/>
          <w:color w:val="auto"/>
          <w:sz w:val="20"/>
          <w:szCs w:val="20"/>
        </w:rPr>
        <w:t>Zasady ładowania okien i drzwi  na środki transportu</w:t>
      </w:r>
    </w:p>
    <w:p w14:paraId="5B42C128" w14:textId="77777777" w:rsidR="007F0A6F" w:rsidRPr="00C0396F" w:rsidRDefault="00B259FF" w:rsidP="00FB6E17">
      <w:pPr>
        <w:spacing w:after="0" w:line="248" w:lineRule="auto"/>
        <w:ind w:left="-5" w:right="0"/>
        <w:rPr>
          <w:rFonts w:ascii="Lato" w:hAnsi="Lato" w:cs="Arial"/>
          <w:color w:val="auto"/>
          <w:sz w:val="20"/>
          <w:szCs w:val="20"/>
        </w:rPr>
      </w:pPr>
      <w:r w:rsidRPr="00C0396F">
        <w:rPr>
          <w:rFonts w:ascii="Lato" w:hAnsi="Lato" w:cs="Arial"/>
          <w:color w:val="auto"/>
          <w:sz w:val="20"/>
          <w:szCs w:val="20"/>
        </w:rPr>
        <w:t>4.3.1.  Ładowanie okien i drzwi  w transporcie drogowym</w:t>
      </w:r>
    </w:p>
    <w:p w14:paraId="2AF8FBD1" w14:textId="4F7B8072" w:rsidR="007F0A6F" w:rsidRPr="00C0396F" w:rsidRDefault="00B259FF" w:rsidP="00FB6E17">
      <w:pPr>
        <w:spacing w:after="0"/>
        <w:ind w:left="-5" w:right="0"/>
        <w:rPr>
          <w:rFonts w:ascii="Lato" w:hAnsi="Lato" w:cs="Arial"/>
          <w:color w:val="auto"/>
          <w:sz w:val="20"/>
          <w:szCs w:val="20"/>
        </w:rPr>
      </w:pPr>
      <w:r w:rsidRPr="00C0396F">
        <w:rPr>
          <w:rFonts w:ascii="Lato" w:hAnsi="Lato" w:cs="Arial"/>
          <w:color w:val="auto"/>
          <w:sz w:val="20"/>
          <w:szCs w:val="20"/>
        </w:rPr>
        <w:lastRenderedPageBreak/>
        <w:t>Wyroby należy ustawiać w jednej warstwie, pionowo w rzędach tak, aby płaszczyzny skrzydeł były równoległe do podłużnej osi pojazdu, z tym że okna – na progach ościeżnic, drzwi  – na stojakach ościeżnic. Wyroby nieszklone, w których elementy okuć zamykających wystają ponad powierzchnię skrzydła, należy przesunąć względem siebie o szerokość skrzydła okiennego.</w:t>
      </w:r>
    </w:p>
    <w:p w14:paraId="4FFB8249" w14:textId="77777777" w:rsidR="00922BBE" w:rsidRPr="00C0396F" w:rsidRDefault="00922BBE" w:rsidP="00FB6E17">
      <w:pPr>
        <w:spacing w:after="0"/>
        <w:ind w:left="-5" w:right="0"/>
        <w:rPr>
          <w:rFonts w:ascii="Lato" w:hAnsi="Lato" w:cs="Arial"/>
          <w:color w:val="auto"/>
          <w:sz w:val="20"/>
          <w:szCs w:val="20"/>
        </w:rPr>
      </w:pPr>
    </w:p>
    <w:p w14:paraId="2CE14410" w14:textId="77777777" w:rsidR="007F0A6F" w:rsidRPr="00C0396F" w:rsidRDefault="00B259FF" w:rsidP="00FB6E17">
      <w:pPr>
        <w:numPr>
          <w:ilvl w:val="1"/>
          <w:numId w:val="13"/>
        </w:numPr>
        <w:spacing w:after="0" w:line="248" w:lineRule="auto"/>
        <w:ind w:right="0" w:hanging="571"/>
        <w:rPr>
          <w:rFonts w:ascii="Lato" w:hAnsi="Lato" w:cs="Arial"/>
          <w:b/>
          <w:bCs/>
          <w:color w:val="auto"/>
          <w:sz w:val="20"/>
          <w:szCs w:val="20"/>
        </w:rPr>
      </w:pPr>
      <w:r w:rsidRPr="00C0396F">
        <w:rPr>
          <w:rFonts w:ascii="Lato" w:hAnsi="Lato" w:cs="Arial"/>
          <w:b/>
          <w:bCs/>
          <w:color w:val="auto"/>
          <w:sz w:val="20"/>
          <w:szCs w:val="20"/>
        </w:rPr>
        <w:t>Zasady zabezpieczania okien i drzwi w środkach transportowych</w:t>
      </w:r>
    </w:p>
    <w:p w14:paraId="58FCEA0F" w14:textId="77777777" w:rsidR="007F0A6F" w:rsidRPr="00C0396F" w:rsidRDefault="00B259FF" w:rsidP="00FB6E17">
      <w:pPr>
        <w:spacing w:after="0"/>
        <w:ind w:left="-5" w:right="0"/>
        <w:rPr>
          <w:rFonts w:ascii="Lato" w:hAnsi="Lato" w:cs="Arial"/>
          <w:color w:val="auto"/>
          <w:sz w:val="20"/>
          <w:szCs w:val="20"/>
        </w:rPr>
      </w:pPr>
      <w:r w:rsidRPr="00C0396F">
        <w:rPr>
          <w:rFonts w:ascii="Lato" w:hAnsi="Lato" w:cs="Arial"/>
          <w:color w:val="auto"/>
          <w:sz w:val="20"/>
          <w:szCs w:val="20"/>
        </w:rPr>
        <w:t>Ustawione wyroby w środkach transportowych należy łączyć w bloki. Połączenia powinny zapewniać stabilność i zwartość ładunku oraz zabezpieczać go przed przemieszczaniem i uszkodzeniem wyrobów. Wyroby należy zabezpieczać przez: a) ścisłe ich ustawienie w rzędach,</w:t>
      </w:r>
    </w:p>
    <w:p w14:paraId="79AC2FE4" w14:textId="77777777" w:rsidR="007F0A6F" w:rsidRPr="00C0396F" w:rsidRDefault="00B259FF" w:rsidP="00FB6E17">
      <w:pPr>
        <w:numPr>
          <w:ilvl w:val="0"/>
          <w:numId w:val="14"/>
        </w:numPr>
        <w:spacing w:after="0"/>
        <w:ind w:right="0" w:hanging="286"/>
        <w:rPr>
          <w:rFonts w:ascii="Lato" w:hAnsi="Lato" w:cs="Arial"/>
          <w:color w:val="auto"/>
          <w:sz w:val="20"/>
          <w:szCs w:val="20"/>
        </w:rPr>
      </w:pPr>
      <w:r w:rsidRPr="00C0396F">
        <w:rPr>
          <w:rFonts w:ascii="Lato" w:hAnsi="Lato" w:cs="Arial"/>
          <w:color w:val="auto"/>
          <w:sz w:val="20"/>
          <w:szCs w:val="20"/>
        </w:rPr>
        <w:t>wypełnienie wolnych przestrzeni w rzędach elementami rozpierającymi,</w:t>
      </w:r>
    </w:p>
    <w:p w14:paraId="5DB633FD" w14:textId="77777777" w:rsidR="007F0A6F" w:rsidRPr="00C0396F" w:rsidRDefault="00B259FF" w:rsidP="00FB6E17">
      <w:pPr>
        <w:numPr>
          <w:ilvl w:val="0"/>
          <w:numId w:val="14"/>
        </w:numPr>
        <w:spacing w:after="0"/>
        <w:ind w:right="0" w:hanging="286"/>
        <w:rPr>
          <w:rFonts w:ascii="Lato" w:hAnsi="Lato" w:cs="Arial"/>
          <w:color w:val="auto"/>
          <w:sz w:val="20"/>
          <w:szCs w:val="20"/>
        </w:rPr>
      </w:pPr>
      <w:r w:rsidRPr="00C0396F">
        <w:rPr>
          <w:rFonts w:ascii="Lato" w:hAnsi="Lato" w:cs="Arial"/>
          <w:color w:val="auto"/>
          <w:sz w:val="20"/>
          <w:szCs w:val="20"/>
        </w:rPr>
        <w:t>usztywnienie rzędów za pomocą elementów mocujących i rozpierających,</w:t>
      </w:r>
    </w:p>
    <w:p w14:paraId="31F55BFC" w14:textId="594BC372" w:rsidR="007F0A6F" w:rsidRPr="00C0396F" w:rsidRDefault="00B259FF" w:rsidP="00FB6E17">
      <w:pPr>
        <w:numPr>
          <w:ilvl w:val="0"/>
          <w:numId w:val="14"/>
        </w:numPr>
        <w:spacing w:after="0"/>
        <w:ind w:right="0" w:hanging="286"/>
        <w:rPr>
          <w:rFonts w:ascii="Lato" w:hAnsi="Lato" w:cs="Arial"/>
          <w:color w:val="auto"/>
          <w:sz w:val="20"/>
          <w:szCs w:val="20"/>
        </w:rPr>
      </w:pPr>
      <w:r w:rsidRPr="00C0396F">
        <w:rPr>
          <w:rFonts w:ascii="Lato" w:hAnsi="Lato" w:cs="Arial"/>
          <w:color w:val="auto"/>
          <w:sz w:val="20"/>
          <w:szCs w:val="20"/>
        </w:rPr>
        <w:t>łączenie rzędów w bloki w transporcie kolejowym i wodnym za pomocą rozpór a w transporcie</w:t>
      </w:r>
      <w:r w:rsidR="00922BBE" w:rsidRPr="00C0396F">
        <w:rPr>
          <w:rFonts w:ascii="Lato" w:hAnsi="Lato" w:cs="Arial"/>
          <w:color w:val="auto"/>
          <w:sz w:val="20"/>
          <w:szCs w:val="20"/>
        </w:rPr>
        <w:t xml:space="preserve"> </w:t>
      </w:r>
      <w:r w:rsidRPr="00C0396F">
        <w:rPr>
          <w:rFonts w:ascii="Lato" w:hAnsi="Lato" w:cs="Arial"/>
          <w:color w:val="auto"/>
          <w:sz w:val="20"/>
          <w:szCs w:val="20"/>
        </w:rPr>
        <w:t>drogowym za pomocą elementów mocujących,</w:t>
      </w:r>
    </w:p>
    <w:p w14:paraId="2CD69BAE" w14:textId="77777777" w:rsidR="007F0A6F" w:rsidRPr="00C0396F" w:rsidRDefault="00B259FF" w:rsidP="00FB6E17">
      <w:pPr>
        <w:numPr>
          <w:ilvl w:val="0"/>
          <w:numId w:val="14"/>
        </w:numPr>
        <w:spacing w:after="0"/>
        <w:ind w:right="0" w:hanging="286"/>
        <w:rPr>
          <w:rFonts w:ascii="Lato" w:hAnsi="Lato" w:cs="Arial"/>
          <w:color w:val="auto"/>
          <w:sz w:val="20"/>
          <w:szCs w:val="20"/>
        </w:rPr>
      </w:pPr>
      <w:r w:rsidRPr="00C0396F">
        <w:rPr>
          <w:rFonts w:ascii="Lato" w:hAnsi="Lato" w:cs="Arial"/>
          <w:color w:val="auto"/>
          <w:sz w:val="20"/>
          <w:szCs w:val="20"/>
        </w:rPr>
        <w:t>usztywnienie bloków za pomocą progów,</w:t>
      </w:r>
    </w:p>
    <w:p w14:paraId="401F207A" w14:textId="6CAAC2AF" w:rsidR="007F0A6F" w:rsidRPr="00C0396F" w:rsidRDefault="00B259FF" w:rsidP="00FB6E17">
      <w:pPr>
        <w:numPr>
          <w:ilvl w:val="0"/>
          <w:numId w:val="14"/>
        </w:numPr>
        <w:spacing w:after="0"/>
        <w:ind w:right="0" w:hanging="286"/>
        <w:rPr>
          <w:rFonts w:ascii="Lato" w:hAnsi="Lato" w:cs="Arial"/>
          <w:color w:val="auto"/>
          <w:sz w:val="20"/>
          <w:szCs w:val="20"/>
        </w:rPr>
      </w:pPr>
      <w:r w:rsidRPr="00C0396F">
        <w:rPr>
          <w:rFonts w:ascii="Lato" w:hAnsi="Lato" w:cs="Arial"/>
          <w:color w:val="auto"/>
          <w:sz w:val="20"/>
          <w:szCs w:val="20"/>
        </w:rPr>
        <w:t>ustawienie w przestrzeni między drzwiowej w wagonach wyrobów w ten sposób, aby nie blokowały drzwi.</w:t>
      </w:r>
    </w:p>
    <w:p w14:paraId="052DBFFE" w14:textId="7EC2016F" w:rsidR="007F0A6F" w:rsidRPr="00C0396F" w:rsidRDefault="00B259FF" w:rsidP="00FB6E17">
      <w:pPr>
        <w:spacing w:after="0"/>
        <w:ind w:left="-15" w:right="0" w:firstLine="286"/>
        <w:rPr>
          <w:rFonts w:ascii="Lato" w:hAnsi="Lato" w:cs="Arial"/>
          <w:color w:val="auto"/>
          <w:sz w:val="20"/>
          <w:szCs w:val="20"/>
        </w:rPr>
      </w:pPr>
      <w:r w:rsidRPr="00C0396F">
        <w:rPr>
          <w:rFonts w:ascii="Lato" w:hAnsi="Lato" w:cs="Arial"/>
          <w:color w:val="auto"/>
          <w:sz w:val="20"/>
          <w:szCs w:val="20"/>
        </w:rPr>
        <w:t>W przypadku ładowania wyrobów dwuwarstwowo, górną warstwę należy zabezpieczyć podobnie jak dolną.</w:t>
      </w:r>
    </w:p>
    <w:p w14:paraId="73BDF422" w14:textId="77777777" w:rsidR="00922BBE" w:rsidRPr="00C0396F" w:rsidRDefault="00922BBE" w:rsidP="00FB6E17">
      <w:pPr>
        <w:spacing w:after="0"/>
        <w:ind w:left="-15" w:right="0" w:firstLine="286"/>
        <w:rPr>
          <w:rFonts w:ascii="Lato" w:hAnsi="Lato" w:cs="Arial"/>
          <w:b/>
          <w:bCs/>
          <w:color w:val="auto"/>
          <w:sz w:val="20"/>
          <w:szCs w:val="20"/>
        </w:rPr>
      </w:pPr>
    </w:p>
    <w:p w14:paraId="472B1451" w14:textId="24563EB6" w:rsidR="007F0A6F" w:rsidRPr="00C0396F" w:rsidRDefault="00B259FF" w:rsidP="00FB6E17">
      <w:pPr>
        <w:numPr>
          <w:ilvl w:val="0"/>
          <w:numId w:val="15"/>
        </w:numPr>
        <w:spacing w:after="0" w:line="248" w:lineRule="auto"/>
        <w:ind w:right="0" w:hanging="451"/>
        <w:rPr>
          <w:rFonts w:ascii="Lato" w:hAnsi="Lato" w:cs="Arial"/>
          <w:b/>
          <w:bCs/>
          <w:color w:val="auto"/>
          <w:sz w:val="20"/>
          <w:szCs w:val="20"/>
        </w:rPr>
      </w:pPr>
      <w:r w:rsidRPr="00C0396F">
        <w:rPr>
          <w:rFonts w:ascii="Lato" w:hAnsi="Lato" w:cs="Arial"/>
          <w:b/>
          <w:bCs/>
          <w:color w:val="auto"/>
          <w:sz w:val="20"/>
          <w:szCs w:val="20"/>
        </w:rPr>
        <w:t>WYMAGANIA DOTYCZĄCE WYKONANIA ROBÓT</w:t>
      </w:r>
    </w:p>
    <w:p w14:paraId="1BB07EFF" w14:textId="77777777" w:rsidR="00922BBE" w:rsidRPr="00C0396F" w:rsidRDefault="00922BBE" w:rsidP="00922BBE">
      <w:pPr>
        <w:spacing w:after="0" w:line="248" w:lineRule="auto"/>
        <w:ind w:left="451" w:right="0" w:firstLine="0"/>
        <w:rPr>
          <w:rFonts w:ascii="Lato" w:hAnsi="Lato" w:cs="Arial"/>
          <w:b/>
          <w:bCs/>
          <w:color w:val="auto"/>
          <w:sz w:val="20"/>
          <w:szCs w:val="20"/>
        </w:rPr>
      </w:pPr>
    </w:p>
    <w:p w14:paraId="5AB7453C" w14:textId="5D04BCEC" w:rsidR="007F0A6F" w:rsidRPr="00C0396F" w:rsidRDefault="00B259FF" w:rsidP="00FB6E17">
      <w:pPr>
        <w:numPr>
          <w:ilvl w:val="1"/>
          <w:numId w:val="15"/>
        </w:numPr>
        <w:spacing w:after="0" w:line="248" w:lineRule="auto"/>
        <w:ind w:right="0" w:hanging="571"/>
        <w:rPr>
          <w:rFonts w:ascii="Lato" w:hAnsi="Lato" w:cs="Arial"/>
          <w:color w:val="auto"/>
          <w:sz w:val="20"/>
          <w:szCs w:val="20"/>
        </w:rPr>
      </w:pPr>
      <w:r w:rsidRPr="00C0396F">
        <w:rPr>
          <w:rFonts w:ascii="Lato" w:hAnsi="Lato" w:cs="Arial"/>
          <w:color w:val="auto"/>
          <w:sz w:val="20"/>
          <w:szCs w:val="20"/>
        </w:rPr>
        <w:t>Ogólne zasady wykonania robót podano w ST „Wymagania ogólne” Kod CPV 45000000-7, pkt 5</w:t>
      </w:r>
    </w:p>
    <w:p w14:paraId="19D0A418" w14:textId="77777777" w:rsidR="00922BBE" w:rsidRPr="00C0396F" w:rsidRDefault="00922BBE" w:rsidP="00922BBE">
      <w:pPr>
        <w:spacing w:after="0" w:line="248" w:lineRule="auto"/>
        <w:ind w:left="1291" w:right="0" w:firstLine="0"/>
        <w:rPr>
          <w:rFonts w:ascii="Lato" w:hAnsi="Lato" w:cs="Arial"/>
          <w:color w:val="auto"/>
          <w:sz w:val="20"/>
          <w:szCs w:val="20"/>
        </w:rPr>
      </w:pPr>
    </w:p>
    <w:p w14:paraId="43E7F885" w14:textId="77777777" w:rsidR="007F0A6F" w:rsidRPr="00C0396F" w:rsidRDefault="00B259FF" w:rsidP="00FB6E17">
      <w:pPr>
        <w:numPr>
          <w:ilvl w:val="1"/>
          <w:numId w:val="15"/>
        </w:numPr>
        <w:spacing w:after="0" w:line="248" w:lineRule="auto"/>
        <w:ind w:right="0" w:hanging="571"/>
        <w:rPr>
          <w:rFonts w:ascii="Lato" w:hAnsi="Lato" w:cs="Arial"/>
          <w:b/>
          <w:bCs/>
          <w:color w:val="auto"/>
          <w:sz w:val="20"/>
          <w:szCs w:val="20"/>
        </w:rPr>
      </w:pPr>
      <w:r w:rsidRPr="00C0396F">
        <w:rPr>
          <w:rFonts w:ascii="Lato" w:hAnsi="Lato" w:cs="Arial"/>
          <w:b/>
          <w:bCs/>
          <w:color w:val="auto"/>
          <w:sz w:val="20"/>
          <w:szCs w:val="20"/>
        </w:rPr>
        <w:t xml:space="preserve">Warunki przystąpienia do montażu okien i drzwi </w:t>
      </w:r>
    </w:p>
    <w:p w14:paraId="3535EB78" w14:textId="77777777" w:rsidR="007F0A6F" w:rsidRPr="00C0396F" w:rsidRDefault="00B259FF" w:rsidP="00FB6E17">
      <w:pPr>
        <w:spacing w:after="0"/>
        <w:ind w:left="-5" w:right="0"/>
        <w:rPr>
          <w:rFonts w:ascii="Lato" w:hAnsi="Lato" w:cs="Arial"/>
          <w:color w:val="auto"/>
          <w:sz w:val="20"/>
          <w:szCs w:val="20"/>
        </w:rPr>
      </w:pPr>
      <w:r w:rsidRPr="00C0396F">
        <w:rPr>
          <w:rFonts w:ascii="Lato" w:hAnsi="Lato" w:cs="Arial"/>
          <w:color w:val="auto"/>
          <w:sz w:val="20"/>
          <w:szCs w:val="20"/>
        </w:rPr>
        <w:t>Do montażu okien i drzwi  można przystąpić po ukończeniu robót stanu surowego, przykryciu budynku i zakończeniu większości robót mokrych (tynki, wylewki).</w:t>
      </w:r>
    </w:p>
    <w:p w14:paraId="70973CAC" w14:textId="77777777" w:rsidR="007F0A6F" w:rsidRPr="00C0396F" w:rsidRDefault="00B259FF" w:rsidP="00FB6E17">
      <w:pPr>
        <w:spacing w:after="0"/>
        <w:ind w:left="-15" w:right="0" w:firstLine="286"/>
        <w:rPr>
          <w:rFonts w:ascii="Lato" w:hAnsi="Lato" w:cs="Arial"/>
          <w:color w:val="auto"/>
          <w:sz w:val="20"/>
          <w:szCs w:val="20"/>
        </w:rPr>
      </w:pPr>
      <w:r w:rsidRPr="00C0396F">
        <w:rPr>
          <w:rFonts w:ascii="Lato" w:hAnsi="Lato" w:cs="Arial"/>
          <w:color w:val="auto"/>
          <w:sz w:val="20"/>
          <w:szCs w:val="20"/>
        </w:rPr>
        <w:t>Osadzenie okien przed zakończeniem robót mokrych jest możliwe przy zapewnieniu odpowiednich warunków cieplno-wilgotnościowych w pomieszczeniach.</w:t>
      </w:r>
    </w:p>
    <w:p w14:paraId="74FF89C4" w14:textId="77777777" w:rsidR="007F0A6F" w:rsidRPr="00C0396F" w:rsidRDefault="00B259FF" w:rsidP="00FB6E17">
      <w:pPr>
        <w:spacing w:after="0"/>
        <w:ind w:left="-15" w:right="0" w:firstLine="286"/>
        <w:rPr>
          <w:rFonts w:ascii="Lato" w:hAnsi="Lato" w:cs="Arial"/>
          <w:color w:val="auto"/>
          <w:sz w:val="20"/>
          <w:szCs w:val="20"/>
        </w:rPr>
      </w:pPr>
      <w:r w:rsidRPr="00C0396F">
        <w:rPr>
          <w:rFonts w:ascii="Lato" w:hAnsi="Lato" w:cs="Arial"/>
          <w:color w:val="auto"/>
          <w:sz w:val="20"/>
          <w:szCs w:val="20"/>
        </w:rPr>
        <w:t>W przypadku okien drewnianych należy nie dopuścić do ich zawilgocenia na skutek wilgotności względnej powietrza w pomieszczeniach (kondensacji pary wodnej na elementach okien). Wymagane jest więc sprawdzenie stanu wilgotności powietrza i zapewnienie systematycznego wietrzenia pomieszczeń.</w:t>
      </w:r>
    </w:p>
    <w:p w14:paraId="0A552B01" w14:textId="77777777" w:rsidR="007F0A6F" w:rsidRPr="00C0396F" w:rsidRDefault="00B259FF" w:rsidP="00FB6E17">
      <w:pPr>
        <w:spacing w:after="0"/>
        <w:ind w:left="-15" w:right="0" w:firstLine="286"/>
        <w:rPr>
          <w:rFonts w:ascii="Lato" w:hAnsi="Lato" w:cs="Arial"/>
          <w:color w:val="auto"/>
          <w:sz w:val="20"/>
          <w:szCs w:val="20"/>
        </w:rPr>
      </w:pPr>
      <w:r w:rsidRPr="00C0396F">
        <w:rPr>
          <w:rFonts w:ascii="Lato" w:hAnsi="Lato" w:cs="Arial"/>
          <w:color w:val="auto"/>
          <w:sz w:val="20"/>
          <w:szCs w:val="20"/>
        </w:rPr>
        <w:t xml:space="preserve">W ścianach z ociepleniem zewnętrznym okna i drzwi  należy wbudowywać przed wykonaniem ocieplenia. </w:t>
      </w:r>
    </w:p>
    <w:p w14:paraId="005F7027" w14:textId="77777777" w:rsidR="007F0A6F" w:rsidRPr="00C0396F" w:rsidRDefault="00B259FF" w:rsidP="00FB6E17">
      <w:pPr>
        <w:spacing w:after="0"/>
        <w:ind w:left="-5" w:right="0"/>
        <w:rPr>
          <w:rFonts w:ascii="Lato" w:hAnsi="Lato" w:cs="Arial"/>
          <w:color w:val="auto"/>
          <w:sz w:val="20"/>
          <w:szCs w:val="20"/>
        </w:rPr>
      </w:pPr>
      <w:r w:rsidRPr="00C0396F">
        <w:rPr>
          <w:rFonts w:ascii="Lato" w:hAnsi="Lato" w:cs="Arial"/>
          <w:color w:val="auto"/>
          <w:sz w:val="20"/>
          <w:szCs w:val="20"/>
        </w:rPr>
        <w:t>Przed przystąpieniem do montażu okien i/lub drzwi  należy sprawdzić:</w:t>
      </w:r>
    </w:p>
    <w:p w14:paraId="685E30C7" w14:textId="77777777" w:rsidR="007F0A6F" w:rsidRPr="00C0396F" w:rsidRDefault="00B259FF" w:rsidP="00FB6E17">
      <w:pPr>
        <w:numPr>
          <w:ilvl w:val="0"/>
          <w:numId w:val="16"/>
        </w:numPr>
        <w:spacing w:after="0"/>
        <w:ind w:right="0" w:hanging="420"/>
        <w:rPr>
          <w:rFonts w:ascii="Lato" w:hAnsi="Lato" w:cs="Arial"/>
          <w:color w:val="auto"/>
          <w:sz w:val="20"/>
          <w:szCs w:val="20"/>
        </w:rPr>
      </w:pPr>
      <w:r w:rsidRPr="00C0396F">
        <w:rPr>
          <w:rFonts w:ascii="Lato" w:hAnsi="Lato" w:cs="Arial"/>
          <w:color w:val="auto"/>
          <w:sz w:val="20"/>
          <w:szCs w:val="20"/>
        </w:rPr>
        <w:t>prawidłowość wykonania ścian,</w:t>
      </w:r>
    </w:p>
    <w:p w14:paraId="00822D5F" w14:textId="77777777" w:rsidR="007F0A6F" w:rsidRPr="00C0396F" w:rsidRDefault="00B259FF" w:rsidP="00FB6E17">
      <w:pPr>
        <w:numPr>
          <w:ilvl w:val="0"/>
          <w:numId w:val="16"/>
        </w:numPr>
        <w:spacing w:after="0"/>
        <w:ind w:right="0" w:hanging="420"/>
        <w:rPr>
          <w:rFonts w:ascii="Lato" w:hAnsi="Lato" w:cs="Arial"/>
          <w:color w:val="auto"/>
          <w:sz w:val="20"/>
          <w:szCs w:val="20"/>
        </w:rPr>
      </w:pPr>
      <w:r w:rsidRPr="00C0396F">
        <w:rPr>
          <w:rFonts w:ascii="Lato" w:hAnsi="Lato" w:cs="Arial"/>
          <w:color w:val="auto"/>
          <w:sz w:val="20"/>
          <w:szCs w:val="20"/>
        </w:rPr>
        <w:t>rodzaj, stan wykończenia i prawidłowość wykonania ościeży,</w:t>
      </w:r>
    </w:p>
    <w:p w14:paraId="1D1346AB" w14:textId="77777777" w:rsidR="007F0A6F" w:rsidRPr="00C0396F" w:rsidRDefault="00B259FF" w:rsidP="00FB6E17">
      <w:pPr>
        <w:numPr>
          <w:ilvl w:val="0"/>
          <w:numId w:val="16"/>
        </w:numPr>
        <w:spacing w:after="0"/>
        <w:ind w:right="0" w:hanging="420"/>
        <w:rPr>
          <w:rFonts w:ascii="Lato" w:hAnsi="Lato" w:cs="Arial"/>
          <w:color w:val="auto"/>
          <w:sz w:val="20"/>
          <w:szCs w:val="20"/>
        </w:rPr>
      </w:pPr>
      <w:r w:rsidRPr="00C0396F">
        <w:rPr>
          <w:rFonts w:ascii="Lato" w:hAnsi="Lato" w:cs="Arial"/>
          <w:color w:val="auto"/>
          <w:sz w:val="20"/>
          <w:szCs w:val="20"/>
        </w:rPr>
        <w:t>zgodność wymiarów otworów z wymiarami podanymi w dokumentacji projektowej,</w:t>
      </w:r>
    </w:p>
    <w:p w14:paraId="078AC799" w14:textId="7433F7F2" w:rsidR="007F0A6F" w:rsidRPr="00C0396F" w:rsidRDefault="00B259FF" w:rsidP="00FB6E17">
      <w:pPr>
        <w:numPr>
          <w:ilvl w:val="0"/>
          <w:numId w:val="16"/>
        </w:numPr>
        <w:spacing w:after="0"/>
        <w:ind w:right="0" w:hanging="420"/>
        <w:rPr>
          <w:rFonts w:ascii="Lato" w:hAnsi="Lato" w:cs="Arial"/>
          <w:color w:val="auto"/>
          <w:sz w:val="20"/>
          <w:szCs w:val="20"/>
        </w:rPr>
      </w:pPr>
      <w:r w:rsidRPr="00C0396F">
        <w:rPr>
          <w:rFonts w:ascii="Lato" w:hAnsi="Lato" w:cs="Arial"/>
          <w:color w:val="auto"/>
          <w:sz w:val="20"/>
          <w:szCs w:val="20"/>
        </w:rPr>
        <w:t>czy wymiary okien i drzwi oraz otworów umożliwiają prawidłowe ustawienie i podparcie okien z zachowaniem właściwej szerokości szczeliny na obwodzie pomiędzy ościeżem a ościeżnicą.</w:t>
      </w:r>
    </w:p>
    <w:p w14:paraId="08BBE6D8" w14:textId="77777777" w:rsidR="00922BBE" w:rsidRPr="00C0396F" w:rsidRDefault="00922BBE" w:rsidP="00922BBE">
      <w:pPr>
        <w:spacing w:after="0"/>
        <w:ind w:left="420" w:right="0" w:firstLine="0"/>
        <w:rPr>
          <w:rFonts w:ascii="Lato" w:hAnsi="Lato" w:cs="Arial"/>
          <w:b/>
          <w:bCs/>
          <w:color w:val="auto"/>
          <w:sz w:val="20"/>
          <w:szCs w:val="20"/>
        </w:rPr>
      </w:pPr>
    </w:p>
    <w:p w14:paraId="7217DD68" w14:textId="5590654C" w:rsidR="007F0A6F" w:rsidRPr="00C0396F" w:rsidRDefault="00B259FF" w:rsidP="00922BBE">
      <w:pPr>
        <w:pStyle w:val="Akapitzlist"/>
        <w:numPr>
          <w:ilvl w:val="1"/>
          <w:numId w:val="15"/>
        </w:numPr>
        <w:tabs>
          <w:tab w:val="center" w:pos="2531"/>
        </w:tabs>
        <w:spacing w:after="0" w:line="248" w:lineRule="auto"/>
        <w:ind w:right="0" w:hanging="582"/>
        <w:jc w:val="left"/>
        <w:rPr>
          <w:rFonts w:ascii="Lato" w:hAnsi="Lato" w:cs="Arial"/>
          <w:b/>
          <w:bCs/>
          <w:color w:val="auto"/>
          <w:sz w:val="20"/>
          <w:szCs w:val="20"/>
        </w:rPr>
      </w:pPr>
      <w:r w:rsidRPr="00C0396F">
        <w:rPr>
          <w:rFonts w:ascii="Lato" w:hAnsi="Lato" w:cs="Arial"/>
          <w:b/>
          <w:bCs/>
          <w:color w:val="auto"/>
          <w:sz w:val="20"/>
          <w:szCs w:val="20"/>
        </w:rPr>
        <w:t xml:space="preserve">Ogólne zasady montażu okien i drzwi </w:t>
      </w:r>
    </w:p>
    <w:p w14:paraId="1895D668" w14:textId="77777777" w:rsidR="007F0A6F" w:rsidRPr="00C0396F" w:rsidRDefault="00B259FF" w:rsidP="00FB6E17">
      <w:pPr>
        <w:spacing w:after="0" w:line="248" w:lineRule="auto"/>
        <w:ind w:left="-5" w:right="0"/>
        <w:rPr>
          <w:rFonts w:ascii="Lato" w:hAnsi="Lato" w:cs="Arial"/>
          <w:color w:val="auto"/>
          <w:sz w:val="20"/>
          <w:szCs w:val="20"/>
        </w:rPr>
      </w:pPr>
      <w:r w:rsidRPr="00C0396F">
        <w:rPr>
          <w:rFonts w:ascii="Lato" w:hAnsi="Lato" w:cs="Arial"/>
          <w:color w:val="auto"/>
          <w:sz w:val="20"/>
          <w:szCs w:val="20"/>
        </w:rPr>
        <w:t>5.3.1.  Usytuowanie okna / drzwi w ościeżu</w:t>
      </w:r>
    </w:p>
    <w:p w14:paraId="474F1A24" w14:textId="77777777" w:rsidR="007F0A6F" w:rsidRPr="00C0396F" w:rsidRDefault="00B259FF" w:rsidP="00FB6E17">
      <w:pPr>
        <w:spacing w:after="0"/>
        <w:ind w:left="271" w:right="0" w:hanging="286"/>
        <w:rPr>
          <w:rFonts w:ascii="Lato" w:hAnsi="Lato" w:cs="Arial"/>
          <w:color w:val="auto"/>
          <w:sz w:val="20"/>
          <w:szCs w:val="20"/>
        </w:rPr>
      </w:pPr>
      <w:r w:rsidRPr="00C0396F">
        <w:rPr>
          <w:rFonts w:ascii="Arial" w:eastAsia="Courier New" w:hAnsi="Arial" w:cs="Arial"/>
          <w:color w:val="auto"/>
          <w:sz w:val="20"/>
          <w:szCs w:val="20"/>
        </w:rPr>
        <w:t>▪</w:t>
      </w:r>
      <w:r w:rsidRPr="00C0396F">
        <w:rPr>
          <w:rFonts w:ascii="Lato" w:eastAsia="Courier New" w:hAnsi="Lato" w:cs="Arial"/>
          <w:color w:val="auto"/>
          <w:sz w:val="20"/>
          <w:szCs w:val="20"/>
        </w:rPr>
        <w:t xml:space="preserve"> </w:t>
      </w:r>
      <w:r w:rsidRPr="00C0396F">
        <w:rPr>
          <w:rFonts w:ascii="Lato" w:hAnsi="Lato" w:cs="Arial"/>
          <w:color w:val="auto"/>
          <w:sz w:val="20"/>
          <w:szCs w:val="20"/>
        </w:rPr>
        <w:t>Okno i/lub drzwi  należy sytuować w ościeżu tak, aby nie powstały mostki termiczne, prowadzące do skraplania się pary wodnej na wewnętrznej stronie ościeżnicy lub powierzchni ościeża.</w:t>
      </w:r>
    </w:p>
    <w:p w14:paraId="40AAA00F" w14:textId="77777777" w:rsidR="007F0A6F" w:rsidRPr="00C0396F" w:rsidRDefault="00B259FF" w:rsidP="00FB6E17">
      <w:pPr>
        <w:spacing w:after="0"/>
        <w:ind w:left="296" w:right="0"/>
        <w:rPr>
          <w:rFonts w:ascii="Lato" w:hAnsi="Lato" w:cs="Arial"/>
          <w:color w:val="auto"/>
          <w:sz w:val="20"/>
          <w:szCs w:val="20"/>
        </w:rPr>
      </w:pPr>
      <w:r w:rsidRPr="00C0396F">
        <w:rPr>
          <w:rFonts w:ascii="Lato" w:hAnsi="Lato" w:cs="Arial"/>
          <w:color w:val="auto"/>
          <w:sz w:val="20"/>
          <w:szCs w:val="20"/>
        </w:rPr>
        <w:t xml:space="preserve">Na wewnętrznych powierzchniach ościeża powinna się utrzymywać temperatura wyższa o minimum 1°C od temperatury punktu rosy. </w:t>
      </w:r>
    </w:p>
    <w:p w14:paraId="6CCB3624" w14:textId="77777777" w:rsidR="007F0A6F" w:rsidRPr="00C0396F" w:rsidRDefault="00B259FF" w:rsidP="00FB6E17">
      <w:pPr>
        <w:spacing w:after="0"/>
        <w:ind w:left="296" w:right="0"/>
        <w:rPr>
          <w:rFonts w:ascii="Lato" w:hAnsi="Lato" w:cs="Arial"/>
          <w:color w:val="auto"/>
          <w:sz w:val="20"/>
          <w:szCs w:val="20"/>
        </w:rPr>
      </w:pPr>
      <w:r w:rsidRPr="00C0396F">
        <w:rPr>
          <w:rFonts w:ascii="Lato" w:hAnsi="Lato" w:cs="Arial"/>
          <w:color w:val="auto"/>
          <w:sz w:val="20"/>
          <w:szCs w:val="20"/>
        </w:rPr>
        <w:t>Jeżeli nie jest znany przebieg izoterm, należy stosować ogólne zasady usytuowania okien:</w:t>
      </w:r>
    </w:p>
    <w:p w14:paraId="4AE8E2FC" w14:textId="77777777" w:rsidR="007F0A6F" w:rsidRPr="00C0396F" w:rsidRDefault="00B259FF" w:rsidP="00FB6E17">
      <w:pPr>
        <w:spacing w:after="0"/>
        <w:ind w:left="296" w:right="0"/>
        <w:rPr>
          <w:rFonts w:ascii="Lato" w:hAnsi="Lato" w:cs="Arial"/>
          <w:color w:val="auto"/>
          <w:sz w:val="20"/>
          <w:szCs w:val="20"/>
        </w:rPr>
      </w:pPr>
      <w:r w:rsidRPr="00C0396F">
        <w:rPr>
          <w:rFonts w:ascii="Lato" w:hAnsi="Lato" w:cs="Arial"/>
          <w:color w:val="auto"/>
          <w:sz w:val="20"/>
          <w:szCs w:val="20"/>
        </w:rPr>
        <w:t>− w ścianie jednowarstwowej – w połowie grubości ściany,</w:t>
      </w:r>
    </w:p>
    <w:p w14:paraId="6358CA91" w14:textId="77777777" w:rsidR="007F0A6F" w:rsidRPr="00C0396F" w:rsidRDefault="00B259FF" w:rsidP="00FB6E17">
      <w:pPr>
        <w:spacing w:after="0"/>
        <w:ind w:left="572" w:right="0" w:hanging="286"/>
        <w:rPr>
          <w:rFonts w:ascii="Lato" w:hAnsi="Lato" w:cs="Arial"/>
          <w:color w:val="auto"/>
          <w:sz w:val="20"/>
          <w:szCs w:val="20"/>
        </w:rPr>
      </w:pPr>
      <w:r w:rsidRPr="00C0396F">
        <w:rPr>
          <w:rFonts w:ascii="Lato" w:hAnsi="Lato" w:cs="Arial"/>
          <w:color w:val="auto"/>
          <w:sz w:val="20"/>
          <w:szCs w:val="20"/>
        </w:rPr>
        <w:t>− w ścianie warstwowej z ociepleniem wewnętrznym – w strefie umieszczenia izolacji termicznej,</w:t>
      </w:r>
    </w:p>
    <w:p w14:paraId="60600187" w14:textId="77777777" w:rsidR="007F0A6F" w:rsidRPr="00C0396F" w:rsidRDefault="00B259FF" w:rsidP="00FB6E17">
      <w:pPr>
        <w:spacing w:after="0"/>
        <w:ind w:left="572" w:right="0" w:hanging="286"/>
        <w:rPr>
          <w:rFonts w:ascii="Lato" w:hAnsi="Lato" w:cs="Arial"/>
          <w:color w:val="auto"/>
          <w:sz w:val="20"/>
          <w:szCs w:val="20"/>
        </w:rPr>
      </w:pPr>
      <w:r w:rsidRPr="00C0396F">
        <w:rPr>
          <w:rFonts w:ascii="Lato" w:hAnsi="Lato" w:cs="Arial"/>
          <w:color w:val="auto"/>
          <w:sz w:val="20"/>
          <w:szCs w:val="20"/>
        </w:rPr>
        <w:t>− w ścianie z ociepleniem zewnętrznym – przy zewnętrznej krawędzi ściany z dosunięciem do warstwy ocieplenia.</w:t>
      </w:r>
    </w:p>
    <w:p w14:paraId="5E27849D" w14:textId="77777777" w:rsidR="007F0A6F" w:rsidRPr="00C0396F" w:rsidRDefault="00B259FF" w:rsidP="00FB6E17">
      <w:pPr>
        <w:spacing w:after="0"/>
        <w:ind w:left="271" w:right="0" w:hanging="286"/>
        <w:rPr>
          <w:rFonts w:ascii="Lato" w:hAnsi="Lato" w:cs="Arial"/>
          <w:color w:val="auto"/>
          <w:sz w:val="20"/>
          <w:szCs w:val="20"/>
        </w:rPr>
      </w:pPr>
      <w:r w:rsidRPr="00C0396F">
        <w:rPr>
          <w:rFonts w:ascii="Arial" w:eastAsia="Courier New" w:hAnsi="Arial" w:cs="Arial"/>
          <w:color w:val="auto"/>
          <w:sz w:val="20"/>
          <w:szCs w:val="20"/>
        </w:rPr>
        <w:t>▪</w:t>
      </w:r>
      <w:r w:rsidRPr="00C0396F">
        <w:rPr>
          <w:rFonts w:ascii="Lato" w:eastAsia="Courier New" w:hAnsi="Lato" w:cs="Arial"/>
          <w:color w:val="auto"/>
          <w:sz w:val="20"/>
          <w:szCs w:val="20"/>
        </w:rPr>
        <w:t xml:space="preserve"> </w:t>
      </w:r>
      <w:r w:rsidRPr="00C0396F">
        <w:rPr>
          <w:rFonts w:ascii="Lato" w:hAnsi="Lato" w:cs="Arial"/>
          <w:color w:val="auto"/>
          <w:sz w:val="20"/>
          <w:szCs w:val="20"/>
        </w:rPr>
        <w:t>W przypadku ościeży z węgarkami okna lub drzwi  powinny być usytuowane tak, by węgarek zasłaniał stojaki i nadproże ościeżnicy na szerokość nie większą niż połowa szerokości kształtownika ościeżnicy.</w:t>
      </w:r>
    </w:p>
    <w:p w14:paraId="2D175C72" w14:textId="77777777" w:rsidR="007F0A6F" w:rsidRPr="00C0396F" w:rsidRDefault="00B259FF" w:rsidP="00FB6E17">
      <w:pPr>
        <w:spacing w:after="0" w:line="248" w:lineRule="auto"/>
        <w:ind w:left="-5" w:right="0"/>
        <w:rPr>
          <w:rFonts w:ascii="Lato" w:hAnsi="Lato" w:cs="Arial"/>
          <w:color w:val="auto"/>
          <w:sz w:val="20"/>
          <w:szCs w:val="20"/>
        </w:rPr>
      </w:pPr>
      <w:r w:rsidRPr="00C0396F">
        <w:rPr>
          <w:rFonts w:ascii="Lato" w:hAnsi="Lato" w:cs="Arial"/>
          <w:color w:val="auto"/>
          <w:sz w:val="20"/>
          <w:szCs w:val="20"/>
        </w:rPr>
        <w:t>5.3.2.  Zasady ustawienia okna / drzwi  w otworze</w:t>
      </w:r>
    </w:p>
    <w:p w14:paraId="744239FB" w14:textId="77777777" w:rsidR="007F0A6F" w:rsidRPr="00C0396F" w:rsidRDefault="00B259FF" w:rsidP="00FB6E17">
      <w:pPr>
        <w:spacing w:after="0"/>
        <w:ind w:left="-5" w:right="0"/>
        <w:rPr>
          <w:rFonts w:ascii="Lato" w:hAnsi="Lato" w:cs="Arial"/>
          <w:color w:val="auto"/>
          <w:sz w:val="20"/>
          <w:szCs w:val="20"/>
        </w:rPr>
      </w:pPr>
      <w:r w:rsidRPr="00C0396F">
        <w:rPr>
          <w:rFonts w:ascii="Arial" w:eastAsia="Courier New" w:hAnsi="Arial" w:cs="Arial"/>
          <w:color w:val="auto"/>
          <w:sz w:val="20"/>
          <w:szCs w:val="20"/>
        </w:rPr>
        <w:t>▪</w:t>
      </w:r>
      <w:r w:rsidRPr="00C0396F">
        <w:rPr>
          <w:rFonts w:ascii="Lato" w:eastAsia="Courier New" w:hAnsi="Lato" w:cs="Arial"/>
          <w:color w:val="auto"/>
          <w:sz w:val="20"/>
          <w:szCs w:val="20"/>
        </w:rPr>
        <w:t xml:space="preserve"> </w:t>
      </w:r>
      <w:r w:rsidRPr="00C0396F">
        <w:rPr>
          <w:rFonts w:ascii="Lato" w:hAnsi="Lato" w:cs="Arial"/>
          <w:color w:val="auto"/>
          <w:sz w:val="20"/>
          <w:szCs w:val="20"/>
        </w:rPr>
        <w:t>Ustawienie okien / drzwi  powinno zapewniać:</w:t>
      </w:r>
    </w:p>
    <w:p w14:paraId="2BB757B5" w14:textId="77777777" w:rsidR="007F0A6F" w:rsidRPr="00C0396F" w:rsidRDefault="00B259FF" w:rsidP="00FB6E17">
      <w:pPr>
        <w:spacing w:after="0"/>
        <w:ind w:left="572" w:right="0" w:hanging="286"/>
        <w:rPr>
          <w:rFonts w:ascii="Lato" w:hAnsi="Lato" w:cs="Arial"/>
          <w:color w:val="auto"/>
          <w:sz w:val="20"/>
          <w:szCs w:val="20"/>
        </w:rPr>
      </w:pPr>
      <w:r w:rsidRPr="00C0396F">
        <w:rPr>
          <w:rFonts w:ascii="Lato" w:hAnsi="Lato" w:cs="Arial"/>
          <w:color w:val="auto"/>
          <w:sz w:val="20"/>
          <w:szCs w:val="20"/>
        </w:rPr>
        <w:t>− luz (szczelinę) pomiędzy otworem w ścianie a wyrobem, pozwalający na zmiany wymiarów okna / drzwi pod wpływem temperatury, wilgotności oraz ruchu konstrukcji budynku nieograniczające funkcjonalności okna / drzwi,</w:t>
      </w:r>
    </w:p>
    <w:p w14:paraId="33AC889B" w14:textId="77777777" w:rsidR="007F0A6F" w:rsidRPr="00C0396F" w:rsidRDefault="00B259FF" w:rsidP="00FB6E17">
      <w:pPr>
        <w:spacing w:after="0"/>
        <w:ind w:left="296" w:right="0"/>
        <w:rPr>
          <w:rFonts w:ascii="Lato" w:hAnsi="Lato" w:cs="Arial"/>
          <w:color w:val="auto"/>
          <w:sz w:val="20"/>
          <w:szCs w:val="20"/>
        </w:rPr>
      </w:pPr>
      <w:r w:rsidRPr="00C0396F">
        <w:rPr>
          <w:rFonts w:ascii="Lato" w:hAnsi="Lato" w:cs="Arial"/>
          <w:color w:val="auto"/>
          <w:sz w:val="20"/>
          <w:szCs w:val="20"/>
        </w:rPr>
        <w:t>− miejsce dla klocków dystansowych i podporowych.</w:t>
      </w:r>
    </w:p>
    <w:p w14:paraId="7D017194" w14:textId="77777777" w:rsidR="007F0A6F" w:rsidRPr="00C0396F" w:rsidRDefault="00B259FF" w:rsidP="00FB6E17">
      <w:pPr>
        <w:spacing w:after="0"/>
        <w:ind w:left="286" w:right="0" w:firstLine="286"/>
        <w:rPr>
          <w:rFonts w:ascii="Lato" w:hAnsi="Lato" w:cs="Arial"/>
          <w:color w:val="auto"/>
          <w:sz w:val="20"/>
          <w:szCs w:val="20"/>
        </w:rPr>
      </w:pPr>
      <w:r w:rsidRPr="00C0396F">
        <w:rPr>
          <w:rFonts w:ascii="Lato" w:hAnsi="Lato" w:cs="Arial"/>
          <w:color w:val="auto"/>
          <w:sz w:val="20"/>
          <w:szCs w:val="20"/>
        </w:rPr>
        <w:lastRenderedPageBreak/>
        <w:t>Do podpierania progu ościeżnicy okien / drzwi stosuje się zgodnie z wytycznymi ich producenta klocki lub belki drewniane (czasami elementy poszerzające, o ile takie są przewidziane w dokumentacji producenta) oraz kątowniki bądź kotwy stalowe.</w:t>
      </w:r>
    </w:p>
    <w:p w14:paraId="3B6F41B6" w14:textId="77777777" w:rsidR="007F0A6F" w:rsidRPr="00C0396F" w:rsidRDefault="00B259FF" w:rsidP="00FB6E17">
      <w:pPr>
        <w:spacing w:after="0"/>
        <w:ind w:left="296" w:right="0"/>
        <w:rPr>
          <w:rFonts w:ascii="Lato" w:hAnsi="Lato" w:cs="Arial"/>
          <w:color w:val="auto"/>
          <w:sz w:val="20"/>
          <w:szCs w:val="20"/>
        </w:rPr>
      </w:pPr>
      <w:r w:rsidRPr="00C0396F">
        <w:rPr>
          <w:rFonts w:ascii="Lato" w:hAnsi="Lato" w:cs="Arial"/>
          <w:color w:val="auto"/>
          <w:sz w:val="20"/>
          <w:szCs w:val="20"/>
        </w:rPr>
        <w:t>Do ustawienia okna w otworze służą klocki podporowe i dystansowe.</w:t>
      </w:r>
    </w:p>
    <w:p w14:paraId="3638C234" w14:textId="77777777" w:rsidR="007F0A6F" w:rsidRPr="00C0396F" w:rsidRDefault="00B259FF" w:rsidP="00FB6E17">
      <w:pPr>
        <w:spacing w:after="0"/>
        <w:ind w:left="286" w:right="0" w:firstLine="286"/>
        <w:rPr>
          <w:rFonts w:ascii="Lato" w:hAnsi="Lato" w:cs="Arial"/>
          <w:color w:val="auto"/>
          <w:sz w:val="20"/>
          <w:szCs w:val="20"/>
        </w:rPr>
      </w:pPr>
      <w:r w:rsidRPr="00C0396F">
        <w:rPr>
          <w:rFonts w:ascii="Lato" w:hAnsi="Lato" w:cs="Arial"/>
          <w:color w:val="auto"/>
          <w:sz w:val="20"/>
          <w:szCs w:val="20"/>
        </w:rPr>
        <w:t>Klocki podporowe i dystansowe powinny być tak rozmieszczone, aby była zapewniona możliwość odkształcania się kształtowników okien.</w:t>
      </w:r>
    </w:p>
    <w:p w14:paraId="3A7F0BA0" w14:textId="77777777" w:rsidR="007F0A6F" w:rsidRPr="00C0396F" w:rsidRDefault="00B259FF" w:rsidP="00FB6E17">
      <w:pPr>
        <w:spacing w:after="0" w:line="248" w:lineRule="auto"/>
        <w:ind w:left="286" w:right="0" w:firstLine="286"/>
        <w:rPr>
          <w:rFonts w:ascii="Lato" w:hAnsi="Lato" w:cs="Arial"/>
          <w:color w:val="auto"/>
          <w:sz w:val="20"/>
          <w:szCs w:val="20"/>
        </w:rPr>
      </w:pPr>
      <w:r w:rsidRPr="00C0396F">
        <w:rPr>
          <w:rFonts w:ascii="Lato" w:hAnsi="Lato" w:cs="Arial"/>
          <w:color w:val="auto"/>
          <w:sz w:val="20"/>
          <w:szCs w:val="20"/>
        </w:rPr>
        <w:t>Zamocowanie okien przy użyciu tylko kołków rozporowych, śrub lub kotew, bez zastosowania klocków podporowych, jest niewystarczające do przenoszenia obciążenia.</w:t>
      </w:r>
    </w:p>
    <w:p w14:paraId="36EDBE96" w14:textId="77777777" w:rsidR="007F0A6F" w:rsidRPr="00C0396F" w:rsidRDefault="00B259FF" w:rsidP="00FB6E17">
      <w:pPr>
        <w:spacing w:after="0"/>
        <w:ind w:left="286" w:right="0" w:firstLine="286"/>
        <w:rPr>
          <w:rFonts w:ascii="Lato" w:hAnsi="Lato" w:cs="Arial"/>
          <w:color w:val="auto"/>
          <w:sz w:val="20"/>
          <w:szCs w:val="20"/>
        </w:rPr>
      </w:pPr>
      <w:r w:rsidRPr="00C0396F">
        <w:rPr>
          <w:rFonts w:ascii="Lato" w:hAnsi="Lato" w:cs="Arial"/>
          <w:color w:val="auto"/>
          <w:sz w:val="20"/>
          <w:szCs w:val="20"/>
        </w:rPr>
        <w:t>Klocki dystansowe, służące do ustalenia pozycji okna w otworze, po zamocowaniu ościeżnicy powinny być usunięte, nie należy natomiast usuwać klocków podporowych.</w:t>
      </w:r>
    </w:p>
    <w:p w14:paraId="59B54294" w14:textId="77777777" w:rsidR="007F0A6F" w:rsidRPr="00C0396F" w:rsidRDefault="00B259FF" w:rsidP="00FB6E17">
      <w:pPr>
        <w:tabs>
          <w:tab w:val="center" w:pos="3058"/>
        </w:tabs>
        <w:spacing w:after="0" w:line="248" w:lineRule="auto"/>
        <w:ind w:left="-15" w:right="0" w:firstLine="0"/>
        <w:jc w:val="left"/>
        <w:rPr>
          <w:rFonts w:ascii="Lato" w:hAnsi="Lato" w:cs="Arial"/>
          <w:color w:val="auto"/>
          <w:sz w:val="20"/>
          <w:szCs w:val="20"/>
        </w:rPr>
      </w:pPr>
      <w:r w:rsidRPr="00C0396F">
        <w:rPr>
          <w:rFonts w:ascii="Lato" w:hAnsi="Lato" w:cs="Arial"/>
          <w:color w:val="auto"/>
          <w:sz w:val="20"/>
          <w:szCs w:val="20"/>
        </w:rPr>
        <w:t>5.3.3.</w:t>
      </w:r>
      <w:r w:rsidRPr="00C0396F">
        <w:rPr>
          <w:rFonts w:ascii="Lato" w:hAnsi="Lato" w:cs="Arial"/>
          <w:color w:val="auto"/>
          <w:sz w:val="20"/>
          <w:szCs w:val="20"/>
        </w:rPr>
        <w:tab/>
        <w:t>Zasady mocowania okna/drzwi  w ościeżu</w:t>
      </w:r>
    </w:p>
    <w:p w14:paraId="19C8098D" w14:textId="77777777" w:rsidR="007F0A6F" w:rsidRPr="00C0396F" w:rsidRDefault="00B259FF" w:rsidP="00FB6E17">
      <w:pPr>
        <w:spacing w:after="0"/>
        <w:ind w:left="720" w:right="0" w:hanging="360"/>
        <w:rPr>
          <w:rFonts w:ascii="Lato" w:hAnsi="Lato" w:cs="Arial"/>
          <w:color w:val="auto"/>
          <w:sz w:val="20"/>
          <w:szCs w:val="20"/>
        </w:rPr>
      </w:pPr>
      <w:r w:rsidRPr="00C0396F">
        <w:rPr>
          <w:rFonts w:ascii="Lato" w:eastAsia="Courier New" w:hAnsi="Lato" w:cs="Arial"/>
          <w:color w:val="auto"/>
          <w:sz w:val="20"/>
          <w:szCs w:val="20"/>
        </w:rPr>
        <w:t xml:space="preserve"> </w:t>
      </w:r>
      <w:r w:rsidRPr="00C0396F">
        <w:rPr>
          <w:rFonts w:ascii="Lato" w:hAnsi="Lato" w:cs="Arial"/>
          <w:color w:val="auto"/>
          <w:sz w:val="20"/>
          <w:szCs w:val="20"/>
        </w:rPr>
        <w:t>Mocowanie powinno być wykonane w taki sposób, aby przewidywalne obciążenia zewnętrzne były przenoszone za pośrednictwem łączników na konstrukcję budynku, a funkcjonalność okien była zachowana, tzn. ruch skrzydeł okiennych przy otwieraniu i zamykaniu był płynny.</w:t>
      </w:r>
    </w:p>
    <w:p w14:paraId="2A231B46" w14:textId="77777777" w:rsidR="007F0A6F" w:rsidRPr="00C0396F" w:rsidRDefault="00B259FF" w:rsidP="00FB6E17">
      <w:pPr>
        <w:spacing w:after="0"/>
        <w:ind w:left="296" w:right="0"/>
        <w:rPr>
          <w:rFonts w:ascii="Lato" w:hAnsi="Lato" w:cs="Arial"/>
          <w:color w:val="auto"/>
          <w:sz w:val="20"/>
          <w:szCs w:val="20"/>
        </w:rPr>
      </w:pPr>
      <w:r w:rsidRPr="00C0396F">
        <w:rPr>
          <w:rFonts w:ascii="Lato" w:hAnsi="Lato" w:cs="Arial"/>
          <w:color w:val="auto"/>
          <w:sz w:val="20"/>
          <w:szCs w:val="20"/>
        </w:rPr>
        <w:t>Zamocowania powinny być rozmieszczone na całym obwodzie ościeżnicy.</w:t>
      </w:r>
    </w:p>
    <w:p w14:paraId="1FDA16FC" w14:textId="77777777" w:rsidR="007F0A6F" w:rsidRPr="00C0396F" w:rsidRDefault="00B259FF" w:rsidP="00FB6E17">
      <w:pPr>
        <w:spacing w:after="0"/>
        <w:ind w:left="720" w:right="0" w:hanging="360"/>
        <w:rPr>
          <w:rFonts w:ascii="Lato" w:hAnsi="Lato" w:cs="Arial"/>
          <w:color w:val="auto"/>
          <w:sz w:val="20"/>
          <w:szCs w:val="20"/>
        </w:rPr>
      </w:pPr>
      <w:r w:rsidRPr="00C0396F">
        <w:rPr>
          <w:rFonts w:ascii="Lato" w:eastAsia="Courier New" w:hAnsi="Lato" w:cs="Arial"/>
          <w:color w:val="auto"/>
          <w:sz w:val="20"/>
          <w:szCs w:val="20"/>
        </w:rPr>
        <w:t xml:space="preserve"> </w:t>
      </w:r>
      <w:r w:rsidRPr="00C0396F">
        <w:rPr>
          <w:rFonts w:ascii="Lato" w:hAnsi="Lato" w:cs="Arial"/>
          <w:color w:val="auto"/>
          <w:sz w:val="20"/>
          <w:szCs w:val="20"/>
        </w:rPr>
        <w:t>Do mocowania okien w ścianie budynku – w zależności od rodzaju ściany (monolityczna, warstwowa) i sposobu mocowania stosuje się kołki rozporowe/dyble, kotwy i śruby/wkręty.</w:t>
      </w:r>
    </w:p>
    <w:p w14:paraId="0CB09120" w14:textId="77777777" w:rsidR="007F0A6F" w:rsidRPr="00C0396F" w:rsidRDefault="00B259FF" w:rsidP="00FB6E17">
      <w:pPr>
        <w:spacing w:after="0" w:line="248" w:lineRule="auto"/>
        <w:ind w:left="296" w:right="0"/>
        <w:rPr>
          <w:rFonts w:ascii="Lato" w:hAnsi="Lato" w:cs="Arial"/>
          <w:color w:val="auto"/>
          <w:sz w:val="20"/>
          <w:szCs w:val="20"/>
        </w:rPr>
      </w:pPr>
      <w:r w:rsidRPr="00C0396F">
        <w:rPr>
          <w:rFonts w:ascii="Lato" w:hAnsi="Lato" w:cs="Arial"/>
          <w:color w:val="auto"/>
          <w:sz w:val="20"/>
          <w:szCs w:val="20"/>
        </w:rPr>
        <w:t>Pianki poliuretanowe i tym podobne materiały izolacyjne nie służą do mocowania okien, a wyłącznie do uszczelnienia i ocieplenia szczeliny między oknem a ścianą.</w:t>
      </w:r>
    </w:p>
    <w:p w14:paraId="6CBC285A" w14:textId="77777777" w:rsidR="007F0A6F" w:rsidRPr="00C0396F" w:rsidRDefault="00B259FF" w:rsidP="00FB6E17">
      <w:pPr>
        <w:spacing w:after="0"/>
        <w:ind w:left="720" w:right="0" w:hanging="360"/>
        <w:rPr>
          <w:rFonts w:ascii="Lato" w:hAnsi="Lato" w:cs="Arial"/>
          <w:color w:val="auto"/>
          <w:sz w:val="20"/>
          <w:szCs w:val="20"/>
        </w:rPr>
      </w:pPr>
      <w:r w:rsidRPr="00C0396F">
        <w:rPr>
          <w:rFonts w:ascii="Lato" w:eastAsia="Courier New" w:hAnsi="Lato" w:cs="Arial"/>
          <w:color w:val="auto"/>
          <w:sz w:val="20"/>
          <w:szCs w:val="20"/>
        </w:rPr>
        <w:t xml:space="preserve"> </w:t>
      </w:r>
      <w:r w:rsidRPr="00C0396F">
        <w:rPr>
          <w:rFonts w:ascii="Lato" w:hAnsi="Lato" w:cs="Arial"/>
          <w:color w:val="auto"/>
          <w:sz w:val="20"/>
          <w:szCs w:val="20"/>
        </w:rPr>
        <w:t>Kołki rozporowe/dyble stosuje się do betonu, muru z cegły dziurawki, pustaków ceramicznych i cementowych, gazobetonu, kamienia naturalnego itp.</w:t>
      </w:r>
    </w:p>
    <w:p w14:paraId="0964F996" w14:textId="77777777" w:rsidR="007F0A6F" w:rsidRPr="00C0396F" w:rsidRDefault="00B259FF" w:rsidP="00FB6E17">
      <w:pPr>
        <w:spacing w:after="0"/>
        <w:ind w:left="720" w:right="0" w:hanging="360"/>
        <w:rPr>
          <w:rFonts w:ascii="Lato" w:hAnsi="Lato" w:cs="Arial"/>
          <w:color w:val="auto"/>
          <w:sz w:val="20"/>
          <w:szCs w:val="20"/>
        </w:rPr>
      </w:pPr>
      <w:r w:rsidRPr="00C0396F">
        <w:rPr>
          <w:rFonts w:ascii="Lato" w:eastAsia="Courier New" w:hAnsi="Lato" w:cs="Arial"/>
          <w:color w:val="auto"/>
          <w:sz w:val="20"/>
          <w:szCs w:val="20"/>
        </w:rPr>
        <w:t xml:space="preserve"> </w:t>
      </w:r>
      <w:r w:rsidRPr="00C0396F">
        <w:rPr>
          <w:rFonts w:ascii="Lato" w:hAnsi="Lato" w:cs="Arial"/>
          <w:color w:val="auto"/>
          <w:sz w:val="20"/>
          <w:szCs w:val="20"/>
        </w:rPr>
        <w:t>Śruby mogą być stosowane do mocowania ościeżnic do betonu, cegły pełnej, cegły silikatowej, cegły dziurawki, betonu lekkiego, drewna itp. Należy stosować śruby dostosowane do materiału ościeży.</w:t>
      </w:r>
    </w:p>
    <w:p w14:paraId="01C7B0C2" w14:textId="77777777" w:rsidR="007F0A6F" w:rsidRPr="00C0396F" w:rsidRDefault="00B259FF" w:rsidP="00FB6E17">
      <w:pPr>
        <w:spacing w:after="0"/>
        <w:ind w:left="720" w:right="0" w:hanging="360"/>
        <w:rPr>
          <w:rFonts w:ascii="Lato" w:hAnsi="Lato" w:cs="Arial"/>
          <w:color w:val="auto"/>
          <w:sz w:val="20"/>
          <w:szCs w:val="20"/>
        </w:rPr>
      </w:pPr>
      <w:r w:rsidRPr="00C0396F">
        <w:rPr>
          <w:rFonts w:ascii="Lato" w:eastAsia="Courier New" w:hAnsi="Lato" w:cs="Arial"/>
          <w:color w:val="auto"/>
          <w:sz w:val="20"/>
          <w:szCs w:val="20"/>
        </w:rPr>
        <w:t xml:space="preserve"> </w:t>
      </w:r>
      <w:r w:rsidRPr="00C0396F">
        <w:rPr>
          <w:rFonts w:ascii="Lato" w:hAnsi="Lato" w:cs="Arial"/>
          <w:color w:val="auto"/>
          <w:sz w:val="20"/>
          <w:szCs w:val="20"/>
        </w:rPr>
        <w:t>Kotwy budowlane powinny być stosowane wszędzie tam, gdzie odstęp ościeżnicy jest zbyt duży do stosowania dybli, np. przy mocowaniu dolnym (progowym) lub w rozwiązaniach ścian warstwowych.</w:t>
      </w:r>
    </w:p>
    <w:p w14:paraId="64D4BDF8" w14:textId="77777777" w:rsidR="007F0A6F" w:rsidRPr="00C0396F" w:rsidRDefault="00B259FF" w:rsidP="00FB6E17">
      <w:pPr>
        <w:spacing w:after="0"/>
        <w:ind w:left="720" w:right="0" w:hanging="360"/>
        <w:rPr>
          <w:rFonts w:ascii="Lato" w:hAnsi="Lato" w:cs="Arial"/>
          <w:color w:val="auto"/>
          <w:sz w:val="20"/>
          <w:szCs w:val="20"/>
        </w:rPr>
      </w:pPr>
      <w:r w:rsidRPr="00C0396F">
        <w:rPr>
          <w:rFonts w:ascii="Lato" w:eastAsia="Courier New" w:hAnsi="Lato" w:cs="Arial"/>
          <w:color w:val="auto"/>
          <w:sz w:val="20"/>
          <w:szCs w:val="20"/>
        </w:rPr>
        <w:t xml:space="preserve"> </w:t>
      </w:r>
      <w:r w:rsidRPr="00C0396F">
        <w:rPr>
          <w:rFonts w:ascii="Lato" w:hAnsi="Lato" w:cs="Arial"/>
          <w:color w:val="auto"/>
          <w:sz w:val="20"/>
          <w:szCs w:val="20"/>
        </w:rPr>
        <w:t>W przypadku okien aluminiowych z kształtowników z przekładkami termicznymi ww. łączniki mocowane są do komory wewnętrznej kształtownika lub w osi zintegrowanego profilu za pośrednictwem podkładki metalowej, wykluczającej przenoszenie obciążeń na przekładki termiczne z tworzyw sztucznych.</w:t>
      </w:r>
    </w:p>
    <w:p w14:paraId="5088B57A" w14:textId="77777777" w:rsidR="007F0A6F" w:rsidRPr="00C0396F" w:rsidRDefault="00B259FF" w:rsidP="00FB6E17">
      <w:pPr>
        <w:spacing w:after="0"/>
        <w:ind w:left="720" w:right="0" w:hanging="360"/>
        <w:rPr>
          <w:rFonts w:ascii="Lato" w:hAnsi="Lato" w:cs="Arial"/>
          <w:color w:val="auto"/>
          <w:sz w:val="20"/>
          <w:szCs w:val="20"/>
        </w:rPr>
      </w:pPr>
      <w:r w:rsidRPr="00C0396F">
        <w:rPr>
          <w:rFonts w:ascii="Lato" w:eastAsia="Courier New" w:hAnsi="Lato" w:cs="Arial"/>
          <w:color w:val="auto"/>
          <w:sz w:val="20"/>
          <w:szCs w:val="20"/>
        </w:rPr>
        <w:t xml:space="preserve"> </w:t>
      </w:r>
      <w:r w:rsidRPr="00C0396F">
        <w:rPr>
          <w:rFonts w:ascii="Lato" w:hAnsi="Lato" w:cs="Arial"/>
          <w:color w:val="auto"/>
          <w:sz w:val="20"/>
          <w:szCs w:val="20"/>
        </w:rPr>
        <w:t>Okna wysunięte całkowicie lub częściowo przed lico ściany zewnętrznej mocuje się przy użyciu kotew lub kątowników stalowych bądź za pomocą systemowych konsoli stalowych.</w:t>
      </w:r>
    </w:p>
    <w:p w14:paraId="27A6E6C2" w14:textId="77777777" w:rsidR="007F0A6F" w:rsidRPr="00C0396F" w:rsidRDefault="00B259FF" w:rsidP="00FB6E17">
      <w:pPr>
        <w:tabs>
          <w:tab w:val="center" w:pos="3823"/>
        </w:tabs>
        <w:spacing w:after="0" w:line="248" w:lineRule="auto"/>
        <w:ind w:left="-15" w:right="0" w:firstLine="0"/>
        <w:jc w:val="left"/>
        <w:rPr>
          <w:rFonts w:ascii="Lato" w:hAnsi="Lato" w:cs="Arial"/>
          <w:color w:val="auto"/>
          <w:sz w:val="20"/>
          <w:szCs w:val="20"/>
        </w:rPr>
      </w:pPr>
      <w:r w:rsidRPr="00C0396F">
        <w:rPr>
          <w:rFonts w:ascii="Lato" w:hAnsi="Lato" w:cs="Arial"/>
          <w:color w:val="auto"/>
          <w:sz w:val="20"/>
          <w:szCs w:val="20"/>
        </w:rPr>
        <w:t>5.3.4.</w:t>
      </w:r>
      <w:r w:rsidRPr="00C0396F">
        <w:rPr>
          <w:rFonts w:ascii="Lato" w:hAnsi="Lato" w:cs="Arial"/>
          <w:color w:val="auto"/>
          <w:sz w:val="20"/>
          <w:szCs w:val="20"/>
        </w:rPr>
        <w:tab/>
        <w:t>Uszczelnienie i izolacja połączenia okna/drzwi  ze ścianą</w:t>
      </w:r>
    </w:p>
    <w:p w14:paraId="48EF675C" w14:textId="77777777" w:rsidR="007F0A6F" w:rsidRPr="00C0396F" w:rsidRDefault="00B259FF" w:rsidP="00FB6E17">
      <w:pPr>
        <w:spacing w:after="0"/>
        <w:ind w:left="-5" w:right="0"/>
        <w:rPr>
          <w:rFonts w:ascii="Lato" w:hAnsi="Lato" w:cs="Arial"/>
          <w:color w:val="auto"/>
          <w:sz w:val="20"/>
          <w:szCs w:val="20"/>
        </w:rPr>
      </w:pPr>
      <w:r w:rsidRPr="00C0396F">
        <w:rPr>
          <w:rFonts w:ascii="Lato" w:hAnsi="Lato" w:cs="Arial"/>
          <w:color w:val="auto"/>
          <w:sz w:val="20"/>
          <w:szCs w:val="20"/>
        </w:rPr>
        <w:t>Uszczelnienie powinno zabezpieczyć szczeliny między oknem a ościeżem przed wnikaniem wody opadowej od strony zewnętrznej oraz wilgoci z powietrza przenikającego z pomieszczenia od strony wewnętrznej.</w:t>
      </w:r>
    </w:p>
    <w:p w14:paraId="235D07D2" w14:textId="77777777" w:rsidR="007F0A6F" w:rsidRPr="00C0396F" w:rsidRDefault="00B259FF" w:rsidP="00FB6E17">
      <w:pPr>
        <w:spacing w:after="0"/>
        <w:ind w:left="-15" w:right="0" w:firstLine="286"/>
        <w:rPr>
          <w:rFonts w:ascii="Lato" w:hAnsi="Lato" w:cs="Arial"/>
          <w:color w:val="auto"/>
          <w:sz w:val="20"/>
          <w:szCs w:val="20"/>
        </w:rPr>
      </w:pPr>
      <w:r w:rsidRPr="00C0396F">
        <w:rPr>
          <w:rFonts w:ascii="Lato" w:hAnsi="Lato" w:cs="Arial"/>
          <w:color w:val="auto"/>
          <w:sz w:val="20"/>
          <w:szCs w:val="20"/>
        </w:rPr>
        <w:t>Przy wykonywaniu uszczelnienia należy przestrzegać zaleceń (wytycznych) producenta materiałów uszczelniających, dotyczących:</w:t>
      </w:r>
    </w:p>
    <w:p w14:paraId="4301BD22" w14:textId="77777777" w:rsidR="007F0A6F" w:rsidRPr="00C0396F" w:rsidRDefault="00B259FF" w:rsidP="00FB6E17">
      <w:pPr>
        <w:numPr>
          <w:ilvl w:val="0"/>
          <w:numId w:val="17"/>
        </w:numPr>
        <w:spacing w:after="0"/>
        <w:ind w:right="0" w:hanging="420"/>
        <w:rPr>
          <w:rFonts w:ascii="Lato" w:hAnsi="Lato" w:cs="Arial"/>
          <w:color w:val="auto"/>
          <w:sz w:val="20"/>
          <w:szCs w:val="20"/>
        </w:rPr>
      </w:pPr>
      <w:r w:rsidRPr="00C0396F">
        <w:rPr>
          <w:rFonts w:ascii="Lato" w:hAnsi="Lato" w:cs="Arial"/>
          <w:color w:val="auto"/>
          <w:sz w:val="20"/>
          <w:szCs w:val="20"/>
        </w:rPr>
        <w:t>zgodności chemicznej stykających się ze sobą materiałów,</w:t>
      </w:r>
    </w:p>
    <w:p w14:paraId="34C1A3E2" w14:textId="77777777" w:rsidR="007F0A6F" w:rsidRPr="00C0396F" w:rsidRDefault="00B259FF" w:rsidP="00FB6E17">
      <w:pPr>
        <w:numPr>
          <w:ilvl w:val="0"/>
          <w:numId w:val="17"/>
        </w:numPr>
        <w:spacing w:after="0"/>
        <w:ind w:right="0" w:hanging="420"/>
        <w:rPr>
          <w:rFonts w:ascii="Lato" w:hAnsi="Lato" w:cs="Arial"/>
          <w:color w:val="auto"/>
          <w:sz w:val="20"/>
          <w:szCs w:val="20"/>
        </w:rPr>
      </w:pPr>
      <w:r w:rsidRPr="00C0396F">
        <w:rPr>
          <w:rFonts w:ascii="Lato" w:hAnsi="Lato" w:cs="Arial"/>
          <w:color w:val="auto"/>
          <w:sz w:val="20"/>
          <w:szCs w:val="20"/>
        </w:rPr>
        <w:t>oczyszczenia powierzchni przylegania,</w:t>
      </w:r>
    </w:p>
    <w:p w14:paraId="03B8E97A" w14:textId="77777777" w:rsidR="007F0A6F" w:rsidRPr="00C0396F" w:rsidRDefault="00B259FF" w:rsidP="00FB6E17">
      <w:pPr>
        <w:numPr>
          <w:ilvl w:val="0"/>
          <w:numId w:val="17"/>
        </w:numPr>
        <w:spacing w:after="0"/>
        <w:ind w:right="0" w:hanging="420"/>
        <w:rPr>
          <w:rFonts w:ascii="Lato" w:hAnsi="Lato" w:cs="Arial"/>
          <w:color w:val="auto"/>
          <w:sz w:val="20"/>
          <w:szCs w:val="20"/>
        </w:rPr>
      </w:pPr>
      <w:r w:rsidRPr="00C0396F">
        <w:rPr>
          <w:rFonts w:ascii="Lato" w:hAnsi="Lato" w:cs="Arial"/>
          <w:color w:val="auto"/>
          <w:sz w:val="20"/>
          <w:szCs w:val="20"/>
        </w:rPr>
        <w:t>zagruntowania powierzchni przylegania (w zależności od rodzaju materiału), –</w:t>
      </w:r>
      <w:r w:rsidRPr="00C0396F">
        <w:rPr>
          <w:rFonts w:ascii="Lato" w:hAnsi="Lato" w:cs="Arial"/>
          <w:color w:val="auto"/>
          <w:sz w:val="20"/>
          <w:szCs w:val="20"/>
        </w:rPr>
        <w:tab/>
        <w:t>wymagań w zakresie wilgotności i temperatury powietrza.</w:t>
      </w:r>
    </w:p>
    <w:p w14:paraId="67E18EA9" w14:textId="77777777" w:rsidR="007F0A6F" w:rsidRPr="00C0396F" w:rsidRDefault="00B259FF" w:rsidP="00FB6E17">
      <w:pPr>
        <w:spacing w:after="0"/>
        <w:ind w:left="-15" w:right="0" w:firstLine="286"/>
        <w:rPr>
          <w:rFonts w:ascii="Lato" w:hAnsi="Lato" w:cs="Arial"/>
          <w:color w:val="auto"/>
          <w:sz w:val="20"/>
          <w:szCs w:val="20"/>
        </w:rPr>
      </w:pPr>
      <w:r w:rsidRPr="00C0396F">
        <w:rPr>
          <w:rFonts w:ascii="Lato" w:hAnsi="Lato" w:cs="Arial"/>
          <w:color w:val="auto"/>
          <w:sz w:val="20"/>
          <w:szCs w:val="20"/>
        </w:rPr>
        <w:t>Uszczelnienie okien na obwodzie składa się z trzech warstw: wewnętrznej, środkowej i zewnętrznej.</w:t>
      </w:r>
    </w:p>
    <w:p w14:paraId="532AE314" w14:textId="77777777" w:rsidR="007F0A6F" w:rsidRPr="00C0396F" w:rsidRDefault="00B259FF" w:rsidP="00FB6E17">
      <w:pPr>
        <w:spacing w:after="0"/>
        <w:ind w:left="-5" w:right="0"/>
        <w:rPr>
          <w:rFonts w:ascii="Lato" w:hAnsi="Lato" w:cs="Arial"/>
          <w:color w:val="auto"/>
          <w:sz w:val="20"/>
          <w:szCs w:val="20"/>
        </w:rPr>
      </w:pPr>
      <w:r w:rsidRPr="00C0396F">
        <w:rPr>
          <w:rFonts w:ascii="Lato" w:hAnsi="Lato" w:cs="Arial"/>
          <w:color w:val="auto"/>
          <w:sz w:val="20"/>
          <w:szCs w:val="20"/>
        </w:rPr>
        <w:t>Warstwa wewnętrzna to uszczelnienie wykonane z materiałów paroszczelnych w formie taśm, folii uszczelniających, kitów trwale elastycznych (silikonów) nieprzepuszczających powietrza i pary wodnej.</w:t>
      </w:r>
    </w:p>
    <w:p w14:paraId="2F564F82" w14:textId="77777777" w:rsidR="007F0A6F" w:rsidRPr="00C0396F" w:rsidRDefault="00B259FF" w:rsidP="00FB6E17">
      <w:pPr>
        <w:spacing w:after="0"/>
        <w:ind w:left="-15" w:right="0" w:firstLine="286"/>
        <w:rPr>
          <w:rFonts w:ascii="Lato" w:hAnsi="Lato" w:cs="Arial"/>
          <w:color w:val="auto"/>
          <w:sz w:val="20"/>
          <w:szCs w:val="20"/>
        </w:rPr>
      </w:pPr>
      <w:r w:rsidRPr="00C0396F">
        <w:rPr>
          <w:rFonts w:ascii="Lato" w:hAnsi="Lato" w:cs="Arial"/>
          <w:color w:val="auto"/>
          <w:sz w:val="20"/>
          <w:szCs w:val="20"/>
        </w:rPr>
        <w:t>Uszczelnienie to powinno nie dopuszczać do przenikania pary wodnej z pomieszczenia do szczeliny między oknem a ścianą budynku, a tym samym zapobiegać wykraplaniu się pary wodnej w szczelinie między oknem a ościeżem (tj. w miejscach o temperaturze niższej od temperatury punktu rosy).</w:t>
      </w:r>
    </w:p>
    <w:p w14:paraId="1D34EE84" w14:textId="77777777" w:rsidR="007F0A6F" w:rsidRPr="00C0396F" w:rsidRDefault="00B259FF" w:rsidP="00FB6E17">
      <w:pPr>
        <w:spacing w:after="0"/>
        <w:ind w:left="-15" w:right="0" w:firstLine="286"/>
        <w:rPr>
          <w:rFonts w:ascii="Lato" w:hAnsi="Lato" w:cs="Arial"/>
          <w:color w:val="auto"/>
          <w:sz w:val="20"/>
          <w:szCs w:val="20"/>
        </w:rPr>
      </w:pPr>
      <w:r w:rsidRPr="00C0396F">
        <w:rPr>
          <w:rFonts w:ascii="Lato" w:hAnsi="Lato" w:cs="Arial"/>
          <w:color w:val="auto"/>
          <w:sz w:val="20"/>
          <w:szCs w:val="20"/>
        </w:rPr>
        <w:t>Paroszczelność uszczelnienia po stronie wewnętrznej okna powinna być wyższa niż po stronie zewnętrznej. Przestrzeganie tej zasady umożliwia dyfuzję pary wodnej z połączenia na zewnątrz budynku.</w:t>
      </w:r>
    </w:p>
    <w:p w14:paraId="12AF11F3" w14:textId="77777777" w:rsidR="007F0A6F" w:rsidRPr="00C0396F" w:rsidRDefault="00B259FF" w:rsidP="00FB6E17">
      <w:pPr>
        <w:spacing w:after="0"/>
        <w:ind w:left="-15" w:right="0" w:firstLine="286"/>
        <w:rPr>
          <w:rFonts w:ascii="Lato" w:hAnsi="Lato" w:cs="Arial"/>
          <w:color w:val="auto"/>
          <w:sz w:val="20"/>
          <w:szCs w:val="20"/>
        </w:rPr>
      </w:pPr>
      <w:r w:rsidRPr="00C0396F">
        <w:rPr>
          <w:rFonts w:ascii="Lato" w:hAnsi="Lato" w:cs="Arial"/>
          <w:color w:val="auto"/>
          <w:sz w:val="20"/>
          <w:szCs w:val="20"/>
        </w:rPr>
        <w:t>Uszczelnienie powinno być trwałe i nie może wchodzić w reakcje chemiczne z otaczającymi je materiałami.</w:t>
      </w:r>
    </w:p>
    <w:p w14:paraId="61506281" w14:textId="77777777" w:rsidR="007F0A6F" w:rsidRPr="00C0396F" w:rsidRDefault="00B259FF" w:rsidP="00FB6E17">
      <w:pPr>
        <w:spacing w:after="0"/>
        <w:ind w:left="-5" w:right="0"/>
        <w:rPr>
          <w:rFonts w:ascii="Lato" w:hAnsi="Lato" w:cs="Arial"/>
          <w:color w:val="auto"/>
          <w:sz w:val="20"/>
          <w:szCs w:val="20"/>
        </w:rPr>
      </w:pPr>
      <w:r w:rsidRPr="00C0396F">
        <w:rPr>
          <w:rFonts w:ascii="Lato" w:hAnsi="Lato" w:cs="Arial"/>
          <w:color w:val="auto"/>
          <w:sz w:val="20"/>
          <w:szCs w:val="20"/>
        </w:rPr>
        <w:t>Warstwa środkowa to izolacja termiczna wykonywana z pianki wypełniającej (np. pianki poliuretanowej) lub mineralnych materiałów izolacyjnych (np. wełny), które zapewniają izolację termiczną i akustyczną połączenia okna z ościeżami.</w:t>
      </w:r>
    </w:p>
    <w:p w14:paraId="63DFD6C9" w14:textId="77777777" w:rsidR="007F0A6F" w:rsidRPr="00C0396F" w:rsidRDefault="00B259FF" w:rsidP="00FB6E17">
      <w:pPr>
        <w:spacing w:after="0"/>
        <w:ind w:left="-15" w:right="0" w:firstLine="286"/>
        <w:rPr>
          <w:rFonts w:ascii="Lato" w:hAnsi="Lato" w:cs="Arial"/>
          <w:color w:val="auto"/>
          <w:sz w:val="20"/>
          <w:szCs w:val="20"/>
        </w:rPr>
      </w:pPr>
      <w:r w:rsidRPr="00C0396F">
        <w:rPr>
          <w:rFonts w:ascii="Lato" w:hAnsi="Lato" w:cs="Arial"/>
          <w:color w:val="auto"/>
          <w:sz w:val="20"/>
          <w:szCs w:val="20"/>
        </w:rPr>
        <w:t>Szczelina między ościeżnicą a ościeżem powinna być całkowicie wypełniona warstwą izolacji termicznej.</w:t>
      </w:r>
    </w:p>
    <w:p w14:paraId="1D3FDAC0" w14:textId="77777777" w:rsidR="007F0A6F" w:rsidRPr="00C0396F" w:rsidRDefault="00B259FF" w:rsidP="00FB6E17">
      <w:pPr>
        <w:spacing w:after="0"/>
        <w:ind w:left="-15" w:right="0" w:firstLine="286"/>
        <w:rPr>
          <w:rFonts w:ascii="Lato" w:hAnsi="Lato" w:cs="Arial"/>
          <w:color w:val="auto"/>
          <w:sz w:val="20"/>
          <w:szCs w:val="20"/>
        </w:rPr>
      </w:pPr>
      <w:r w:rsidRPr="00C0396F">
        <w:rPr>
          <w:rFonts w:ascii="Lato" w:hAnsi="Lato" w:cs="Arial"/>
          <w:color w:val="auto"/>
          <w:sz w:val="20"/>
          <w:szCs w:val="20"/>
        </w:rPr>
        <w:t>Pianki stosowane do wypełnienia połączeń (zaleca się pianki dwuskładnikowe o kontrolowanym spienianiu) nie mogą wchodzić w reakcje chemiczne, ani też wydzielać substancji szkodliwych.</w:t>
      </w:r>
    </w:p>
    <w:p w14:paraId="35B7C9A6" w14:textId="77777777" w:rsidR="007F0A6F" w:rsidRPr="00C0396F" w:rsidRDefault="00B259FF" w:rsidP="00FB6E17">
      <w:pPr>
        <w:spacing w:after="0"/>
        <w:ind w:left="-15" w:right="0" w:firstLine="286"/>
        <w:rPr>
          <w:rFonts w:ascii="Lato" w:hAnsi="Lato" w:cs="Arial"/>
          <w:color w:val="auto"/>
          <w:sz w:val="20"/>
          <w:szCs w:val="20"/>
        </w:rPr>
      </w:pPr>
      <w:r w:rsidRPr="00C0396F">
        <w:rPr>
          <w:rFonts w:ascii="Lato" w:hAnsi="Lato" w:cs="Arial"/>
          <w:color w:val="auto"/>
          <w:sz w:val="20"/>
          <w:szCs w:val="20"/>
        </w:rPr>
        <w:t>Stosowanie ich powinno być zgodne z instrukcją producenta. Dotyczy to przede wszystkim temperatury otoczenia, przy której mogą być użyte oraz czystości wypełnianej szczeliny.</w:t>
      </w:r>
    </w:p>
    <w:p w14:paraId="66BFAD3C" w14:textId="77777777" w:rsidR="007F0A6F" w:rsidRPr="00C0396F" w:rsidRDefault="00B259FF" w:rsidP="00FB6E17">
      <w:pPr>
        <w:spacing w:after="0"/>
        <w:ind w:left="-15" w:right="0" w:firstLine="286"/>
        <w:rPr>
          <w:rFonts w:ascii="Lato" w:hAnsi="Lato" w:cs="Arial"/>
          <w:color w:val="auto"/>
          <w:sz w:val="20"/>
          <w:szCs w:val="20"/>
        </w:rPr>
      </w:pPr>
      <w:r w:rsidRPr="00C0396F">
        <w:rPr>
          <w:rFonts w:ascii="Lato" w:hAnsi="Lato" w:cs="Arial"/>
          <w:color w:val="auto"/>
          <w:sz w:val="20"/>
          <w:szCs w:val="20"/>
        </w:rPr>
        <w:t>Podczas wtryskiwania pianki należy zwracać uwagę na dokładne wypełnienie szczeliny, a jednocześnie nie wolno doprowadzić do odkształcenia (deformacji) ramy ościeżnicy.</w:t>
      </w:r>
    </w:p>
    <w:p w14:paraId="6265BF05" w14:textId="77777777" w:rsidR="007F0A6F" w:rsidRPr="00C0396F" w:rsidRDefault="00B259FF" w:rsidP="00FB6E17">
      <w:pPr>
        <w:spacing w:after="0"/>
        <w:ind w:left="-5" w:right="0"/>
        <w:rPr>
          <w:rFonts w:ascii="Lato" w:hAnsi="Lato" w:cs="Arial"/>
          <w:color w:val="auto"/>
          <w:sz w:val="20"/>
          <w:szCs w:val="20"/>
        </w:rPr>
      </w:pPr>
      <w:r w:rsidRPr="00C0396F">
        <w:rPr>
          <w:rFonts w:ascii="Lato" w:hAnsi="Lato" w:cs="Arial"/>
          <w:color w:val="auto"/>
          <w:sz w:val="20"/>
          <w:szCs w:val="20"/>
        </w:rPr>
        <w:lastRenderedPageBreak/>
        <w:t>Warstwa zewnętrzna to uszczelnienie wykonane z impregnowanych taśm rozprężnych lub taśm warstwowych paroprzepuszczalnych.</w:t>
      </w:r>
    </w:p>
    <w:p w14:paraId="745E160E" w14:textId="77777777" w:rsidR="007F0A6F" w:rsidRPr="00C0396F" w:rsidRDefault="00B259FF" w:rsidP="00FB6E17">
      <w:pPr>
        <w:spacing w:after="0"/>
        <w:ind w:left="-15" w:right="0" w:firstLine="286"/>
        <w:rPr>
          <w:rFonts w:ascii="Lato" w:hAnsi="Lato" w:cs="Arial"/>
          <w:color w:val="auto"/>
          <w:sz w:val="20"/>
          <w:szCs w:val="20"/>
        </w:rPr>
      </w:pPr>
      <w:r w:rsidRPr="00C0396F">
        <w:rPr>
          <w:rFonts w:ascii="Lato" w:hAnsi="Lato" w:cs="Arial"/>
          <w:color w:val="auto"/>
          <w:sz w:val="20"/>
          <w:szCs w:val="20"/>
        </w:rPr>
        <w:t>Uszczelnienie zewnętrzne powinno być paroprzepuszczalne, a jednocześnie wykonane w taki sposób, aby nie było możliwości przenikania wody opadowej do wnętrza szczeliny między oknem a ścianą.</w:t>
      </w:r>
    </w:p>
    <w:p w14:paraId="5880FEDC" w14:textId="1FE3994C" w:rsidR="007F0A6F" w:rsidRPr="00C0396F" w:rsidRDefault="00B259FF" w:rsidP="00FB6E17">
      <w:pPr>
        <w:spacing w:after="0"/>
        <w:ind w:left="-15" w:right="0" w:firstLine="286"/>
        <w:rPr>
          <w:rFonts w:ascii="Lato" w:hAnsi="Lato" w:cs="Arial"/>
          <w:color w:val="auto"/>
          <w:sz w:val="20"/>
          <w:szCs w:val="20"/>
        </w:rPr>
      </w:pPr>
      <w:r w:rsidRPr="00C0396F">
        <w:rPr>
          <w:rFonts w:ascii="Lato" w:hAnsi="Lato" w:cs="Arial"/>
          <w:color w:val="auto"/>
          <w:sz w:val="20"/>
          <w:szCs w:val="20"/>
        </w:rPr>
        <w:t>Uszczelnienie powinno być trwałe i nie może wchodzić w reakcje chemiczne z otaczającymi je materiałami.</w:t>
      </w:r>
    </w:p>
    <w:p w14:paraId="797CC5DB" w14:textId="77777777" w:rsidR="00922BBE" w:rsidRPr="00C0396F" w:rsidRDefault="00922BBE" w:rsidP="00FB6E17">
      <w:pPr>
        <w:spacing w:after="0"/>
        <w:ind w:left="-15" w:right="0" w:firstLine="286"/>
        <w:rPr>
          <w:rFonts w:ascii="Lato" w:hAnsi="Lato" w:cs="Arial"/>
          <w:color w:val="auto"/>
          <w:sz w:val="20"/>
          <w:szCs w:val="20"/>
        </w:rPr>
      </w:pPr>
    </w:p>
    <w:p w14:paraId="67BE2DCA" w14:textId="2E00CC52" w:rsidR="007F0A6F" w:rsidRPr="00C0396F" w:rsidRDefault="00B259FF" w:rsidP="00922BBE">
      <w:pPr>
        <w:pStyle w:val="Akapitzlist"/>
        <w:numPr>
          <w:ilvl w:val="1"/>
          <w:numId w:val="15"/>
        </w:numPr>
        <w:tabs>
          <w:tab w:val="center" w:pos="3071"/>
        </w:tabs>
        <w:spacing w:after="0" w:line="248" w:lineRule="auto"/>
        <w:ind w:right="0" w:hanging="582"/>
        <w:jc w:val="left"/>
        <w:rPr>
          <w:rFonts w:ascii="Lato" w:hAnsi="Lato" w:cs="Arial"/>
          <w:b/>
          <w:bCs/>
          <w:color w:val="auto"/>
          <w:sz w:val="20"/>
          <w:szCs w:val="20"/>
        </w:rPr>
      </w:pPr>
      <w:r w:rsidRPr="00C0396F">
        <w:rPr>
          <w:rFonts w:ascii="Lato" w:hAnsi="Lato" w:cs="Arial"/>
          <w:b/>
          <w:bCs/>
          <w:color w:val="auto"/>
          <w:sz w:val="20"/>
          <w:szCs w:val="20"/>
        </w:rPr>
        <w:t xml:space="preserve">Ogólne zasady osadzania parapetów okiennych </w:t>
      </w:r>
    </w:p>
    <w:p w14:paraId="05EF7F7E" w14:textId="77777777" w:rsidR="007F0A6F" w:rsidRPr="00C0396F" w:rsidRDefault="00B259FF" w:rsidP="00922BBE">
      <w:pPr>
        <w:tabs>
          <w:tab w:val="center" w:pos="1418"/>
        </w:tabs>
        <w:spacing w:after="0" w:line="248" w:lineRule="auto"/>
        <w:ind w:left="-15" w:right="0" w:firstLine="0"/>
        <w:jc w:val="left"/>
        <w:rPr>
          <w:rFonts w:ascii="Lato" w:hAnsi="Lato" w:cs="Arial"/>
          <w:color w:val="auto"/>
          <w:sz w:val="20"/>
          <w:szCs w:val="20"/>
        </w:rPr>
      </w:pPr>
      <w:r w:rsidRPr="00C0396F">
        <w:rPr>
          <w:rFonts w:ascii="Lato" w:hAnsi="Lato" w:cs="Arial"/>
          <w:color w:val="auto"/>
          <w:sz w:val="20"/>
          <w:szCs w:val="20"/>
        </w:rPr>
        <w:t>5.4.1.</w:t>
      </w:r>
      <w:r w:rsidRPr="00C0396F">
        <w:rPr>
          <w:rFonts w:ascii="Lato" w:hAnsi="Lato" w:cs="Arial"/>
          <w:color w:val="auto"/>
          <w:sz w:val="20"/>
          <w:szCs w:val="20"/>
        </w:rPr>
        <w:tab/>
        <w:t>Parapety zewnętrzne</w:t>
      </w:r>
    </w:p>
    <w:p w14:paraId="4FFAC7D5" w14:textId="77777777" w:rsidR="007F0A6F" w:rsidRPr="00C0396F" w:rsidRDefault="00B259FF" w:rsidP="00FB6E17">
      <w:pPr>
        <w:spacing w:after="0"/>
        <w:ind w:left="-5" w:right="0"/>
        <w:rPr>
          <w:rFonts w:ascii="Lato" w:hAnsi="Lato" w:cs="Arial"/>
          <w:color w:val="auto"/>
          <w:sz w:val="20"/>
          <w:szCs w:val="20"/>
        </w:rPr>
      </w:pPr>
      <w:r w:rsidRPr="00C0396F">
        <w:rPr>
          <w:rFonts w:ascii="Lato" w:hAnsi="Lato" w:cs="Arial"/>
          <w:color w:val="auto"/>
          <w:sz w:val="20"/>
          <w:szCs w:val="20"/>
        </w:rPr>
        <w:t>Parapet zewnętrzny powinien być osadzony zgodnie z rozwiązaniem przewidzianym w dokumentacji projektowej tak, by spełnione były następujące wymagania:</w:t>
      </w:r>
    </w:p>
    <w:p w14:paraId="62D12605" w14:textId="77777777" w:rsidR="007F0A6F" w:rsidRPr="00C0396F" w:rsidRDefault="00B259FF" w:rsidP="00FB6E17">
      <w:pPr>
        <w:numPr>
          <w:ilvl w:val="0"/>
          <w:numId w:val="18"/>
        </w:numPr>
        <w:spacing w:after="0"/>
        <w:ind w:right="0" w:hanging="420"/>
        <w:rPr>
          <w:rFonts w:ascii="Lato" w:hAnsi="Lato" w:cs="Arial"/>
          <w:color w:val="auto"/>
          <w:sz w:val="20"/>
          <w:szCs w:val="20"/>
        </w:rPr>
      </w:pPr>
      <w:r w:rsidRPr="00C0396F">
        <w:rPr>
          <w:rFonts w:ascii="Lato" w:hAnsi="Lato" w:cs="Arial"/>
          <w:color w:val="auto"/>
          <w:sz w:val="20"/>
          <w:szCs w:val="20"/>
        </w:rPr>
        <w:t>osadzanie parapetu należy rozpocząć po zakończeniu montażu i uszczelnieniu na obwodzie okna,</w:t>
      </w:r>
    </w:p>
    <w:p w14:paraId="0CAC8063" w14:textId="77777777" w:rsidR="007F0A6F" w:rsidRPr="00C0396F" w:rsidRDefault="00B259FF" w:rsidP="00FB6E17">
      <w:pPr>
        <w:numPr>
          <w:ilvl w:val="0"/>
          <w:numId w:val="18"/>
        </w:numPr>
        <w:spacing w:after="0"/>
        <w:ind w:right="0" w:hanging="420"/>
        <w:rPr>
          <w:rFonts w:ascii="Lato" w:hAnsi="Lato" w:cs="Arial"/>
          <w:color w:val="auto"/>
          <w:sz w:val="20"/>
          <w:szCs w:val="20"/>
        </w:rPr>
      </w:pPr>
      <w:r w:rsidRPr="00C0396F">
        <w:rPr>
          <w:rFonts w:ascii="Lato" w:hAnsi="Lato" w:cs="Arial"/>
          <w:color w:val="auto"/>
          <w:sz w:val="20"/>
          <w:szCs w:val="20"/>
        </w:rPr>
        <w:t>parapet powinien wystawać poza płaszczyznę ściany około 3-4 cm lecz nie mniej niż 2 cm,</w:t>
      </w:r>
    </w:p>
    <w:p w14:paraId="50C5FF06" w14:textId="77777777" w:rsidR="007F0A6F" w:rsidRPr="00C0396F" w:rsidRDefault="00B259FF" w:rsidP="00FB6E17">
      <w:pPr>
        <w:numPr>
          <w:ilvl w:val="0"/>
          <w:numId w:val="18"/>
        </w:numPr>
        <w:spacing w:after="0"/>
        <w:ind w:right="0" w:hanging="420"/>
        <w:rPr>
          <w:rFonts w:ascii="Lato" w:hAnsi="Lato" w:cs="Arial"/>
          <w:color w:val="auto"/>
          <w:sz w:val="20"/>
          <w:szCs w:val="20"/>
        </w:rPr>
      </w:pPr>
      <w:r w:rsidRPr="00C0396F">
        <w:rPr>
          <w:rFonts w:ascii="Lato" w:hAnsi="Lato" w:cs="Arial"/>
          <w:color w:val="auto"/>
          <w:sz w:val="20"/>
          <w:szCs w:val="20"/>
        </w:rPr>
        <w:t>mocowanie do ościeżnicy powinno być dostatecznie mocne,</w:t>
      </w:r>
    </w:p>
    <w:p w14:paraId="56D577B3" w14:textId="77777777" w:rsidR="007F0A6F" w:rsidRPr="00C0396F" w:rsidRDefault="00B259FF" w:rsidP="00FB6E17">
      <w:pPr>
        <w:numPr>
          <w:ilvl w:val="0"/>
          <w:numId w:val="18"/>
        </w:numPr>
        <w:spacing w:after="0"/>
        <w:ind w:right="0" w:hanging="420"/>
        <w:rPr>
          <w:rFonts w:ascii="Lato" w:hAnsi="Lato" w:cs="Arial"/>
          <w:color w:val="auto"/>
          <w:sz w:val="20"/>
          <w:szCs w:val="20"/>
        </w:rPr>
      </w:pPr>
      <w:r w:rsidRPr="00C0396F">
        <w:rPr>
          <w:rFonts w:ascii="Lato" w:hAnsi="Lato" w:cs="Arial"/>
          <w:color w:val="auto"/>
          <w:sz w:val="20"/>
          <w:szCs w:val="20"/>
        </w:rPr>
        <w:t>miejsca połączenia parapetu z ościeżnicą powinny być szczelne lub uszczelnione taśmami rozprężnymi i silikonem,</w:t>
      </w:r>
    </w:p>
    <w:p w14:paraId="565DE4CB" w14:textId="77777777" w:rsidR="007F0A6F" w:rsidRPr="00C0396F" w:rsidRDefault="00B259FF" w:rsidP="00FB6E17">
      <w:pPr>
        <w:numPr>
          <w:ilvl w:val="0"/>
          <w:numId w:val="18"/>
        </w:numPr>
        <w:spacing w:after="0"/>
        <w:ind w:right="0" w:hanging="420"/>
        <w:rPr>
          <w:rFonts w:ascii="Lato" w:hAnsi="Lato" w:cs="Arial"/>
          <w:color w:val="auto"/>
          <w:sz w:val="20"/>
          <w:szCs w:val="20"/>
        </w:rPr>
      </w:pPr>
      <w:r w:rsidRPr="00C0396F">
        <w:rPr>
          <w:rFonts w:ascii="Lato" w:hAnsi="Lato" w:cs="Arial"/>
          <w:color w:val="auto"/>
          <w:sz w:val="20"/>
          <w:szCs w:val="20"/>
        </w:rPr>
        <w:t>połączenia boczne parapetu z ościeżami oraz w narożu (okno – mur – parapet) powinny zapewniać ciągłość uszczelnienia (przykłady uszczelnienia parapetu zewnętrznego na styku z ościeżem przedstawione są w pkt. 4.4.1. Warunków technicznych wykonania i odbioru robót budowlanych. Część B – Roboty wykończeniowe, zeszyt 6 „Montaż okien i drzwi balkonowych”, wydanie ITB – 2011 r.),</w:t>
      </w:r>
    </w:p>
    <w:p w14:paraId="6B1F269F" w14:textId="77777777" w:rsidR="007F0A6F" w:rsidRPr="00C0396F" w:rsidRDefault="00B259FF" w:rsidP="00FB6E17">
      <w:pPr>
        <w:numPr>
          <w:ilvl w:val="0"/>
          <w:numId w:val="18"/>
        </w:numPr>
        <w:spacing w:after="0"/>
        <w:ind w:right="0" w:hanging="420"/>
        <w:rPr>
          <w:rFonts w:ascii="Lato" w:hAnsi="Lato" w:cs="Arial"/>
          <w:color w:val="auto"/>
          <w:sz w:val="20"/>
          <w:szCs w:val="20"/>
        </w:rPr>
      </w:pPr>
      <w:r w:rsidRPr="00C0396F">
        <w:rPr>
          <w:rFonts w:ascii="Lato" w:hAnsi="Lato" w:cs="Arial"/>
          <w:color w:val="auto"/>
          <w:sz w:val="20"/>
          <w:szCs w:val="20"/>
        </w:rPr>
        <w:t>przy oknach z kształtowników aluminiowych lub z PVC kołnierz parapetu powinien być wprowadzony pod profil progowy ościeżnicy (wywinięcie kołnierza na profil ramy ościeżnicowej bez dodatkowego uszczelnienia taśmami rozprężnymi i silikonem nie zapewnia szczelności połączenia).</w:t>
      </w:r>
    </w:p>
    <w:p w14:paraId="25198AAA" w14:textId="77777777" w:rsidR="007F0A6F" w:rsidRPr="00C0396F" w:rsidRDefault="00B259FF" w:rsidP="00FB6E17">
      <w:pPr>
        <w:spacing w:after="0"/>
        <w:ind w:left="-5" w:right="0"/>
        <w:rPr>
          <w:rFonts w:ascii="Lato" w:hAnsi="Lato" w:cs="Arial"/>
          <w:color w:val="auto"/>
          <w:sz w:val="20"/>
          <w:szCs w:val="20"/>
        </w:rPr>
      </w:pPr>
      <w:r w:rsidRPr="00C0396F">
        <w:rPr>
          <w:rFonts w:ascii="Lato" w:hAnsi="Lato" w:cs="Arial"/>
          <w:color w:val="auto"/>
          <w:sz w:val="20"/>
          <w:szCs w:val="20"/>
        </w:rPr>
        <w:t>Przy montażu parapetów z blachy należy zwrócić uwagę na:</w:t>
      </w:r>
    </w:p>
    <w:p w14:paraId="5FE95A9F" w14:textId="77777777" w:rsidR="007F0A6F" w:rsidRPr="00C0396F" w:rsidRDefault="00B259FF" w:rsidP="00FB6E17">
      <w:pPr>
        <w:numPr>
          <w:ilvl w:val="0"/>
          <w:numId w:val="18"/>
        </w:numPr>
        <w:spacing w:after="0"/>
        <w:ind w:right="0" w:hanging="420"/>
        <w:rPr>
          <w:rFonts w:ascii="Lato" w:hAnsi="Lato" w:cs="Arial"/>
          <w:color w:val="auto"/>
          <w:sz w:val="20"/>
          <w:szCs w:val="20"/>
        </w:rPr>
      </w:pPr>
      <w:r w:rsidRPr="00C0396F">
        <w:rPr>
          <w:rFonts w:ascii="Lato" w:hAnsi="Lato" w:cs="Arial"/>
          <w:color w:val="auto"/>
          <w:sz w:val="20"/>
          <w:szCs w:val="20"/>
        </w:rPr>
        <w:t>zmianę ich wymiarów pod wpływem temperatury (styki dylatacyjne powinny być rozmieszczone co 250 cm),</w:t>
      </w:r>
    </w:p>
    <w:p w14:paraId="16466ED0" w14:textId="77777777" w:rsidR="007F0A6F" w:rsidRPr="00C0396F" w:rsidRDefault="00B259FF" w:rsidP="00FB6E17">
      <w:pPr>
        <w:numPr>
          <w:ilvl w:val="0"/>
          <w:numId w:val="18"/>
        </w:numPr>
        <w:spacing w:after="0"/>
        <w:ind w:right="0" w:hanging="420"/>
        <w:rPr>
          <w:rFonts w:ascii="Lato" w:hAnsi="Lato" w:cs="Arial"/>
          <w:color w:val="auto"/>
          <w:sz w:val="20"/>
          <w:szCs w:val="20"/>
        </w:rPr>
      </w:pPr>
      <w:r w:rsidRPr="00C0396F">
        <w:rPr>
          <w:rFonts w:ascii="Lato" w:hAnsi="Lato" w:cs="Arial"/>
          <w:color w:val="auto"/>
          <w:sz w:val="20"/>
          <w:szCs w:val="20"/>
        </w:rPr>
        <w:t>podparcie i zabezpieczenie parapetów przed podrywaniem do góry przez wiatr, –</w:t>
      </w:r>
      <w:r w:rsidRPr="00C0396F">
        <w:rPr>
          <w:rFonts w:ascii="Lato" w:hAnsi="Lato" w:cs="Arial"/>
          <w:color w:val="auto"/>
          <w:sz w:val="20"/>
          <w:szCs w:val="20"/>
        </w:rPr>
        <w:tab/>
        <w:t>wytłumienie odgłosów padającego deszczu (stosowanie taśm wygłuszających),</w:t>
      </w:r>
    </w:p>
    <w:p w14:paraId="2715EE5E" w14:textId="77777777" w:rsidR="007F0A6F" w:rsidRPr="00C0396F" w:rsidRDefault="00B259FF" w:rsidP="00FB6E17">
      <w:pPr>
        <w:numPr>
          <w:ilvl w:val="0"/>
          <w:numId w:val="18"/>
        </w:numPr>
        <w:spacing w:after="0"/>
        <w:ind w:right="0" w:hanging="420"/>
        <w:rPr>
          <w:rFonts w:ascii="Lato" w:hAnsi="Lato" w:cs="Arial"/>
          <w:color w:val="auto"/>
          <w:sz w:val="20"/>
          <w:szCs w:val="20"/>
        </w:rPr>
      </w:pPr>
      <w:r w:rsidRPr="00C0396F">
        <w:rPr>
          <w:rFonts w:ascii="Lato" w:hAnsi="Lato" w:cs="Arial"/>
          <w:color w:val="auto"/>
          <w:sz w:val="20"/>
          <w:szCs w:val="20"/>
        </w:rPr>
        <w:t>dostosowanie połączeń końcowych parapetów z ościeżami do konkretnego rozwiązania elewacji.</w:t>
      </w:r>
    </w:p>
    <w:p w14:paraId="0F664699" w14:textId="77777777" w:rsidR="007F0A6F" w:rsidRPr="00C0396F" w:rsidRDefault="00B259FF" w:rsidP="00922BBE">
      <w:pPr>
        <w:tabs>
          <w:tab w:val="center" w:pos="1560"/>
        </w:tabs>
        <w:spacing w:after="0" w:line="248" w:lineRule="auto"/>
        <w:ind w:left="-15" w:right="0" w:firstLine="0"/>
        <w:jc w:val="left"/>
        <w:rPr>
          <w:rFonts w:ascii="Lato" w:hAnsi="Lato" w:cs="Arial"/>
          <w:color w:val="auto"/>
          <w:sz w:val="20"/>
          <w:szCs w:val="20"/>
        </w:rPr>
      </w:pPr>
      <w:r w:rsidRPr="00C0396F">
        <w:rPr>
          <w:rFonts w:ascii="Lato" w:hAnsi="Lato" w:cs="Arial"/>
          <w:color w:val="auto"/>
          <w:sz w:val="20"/>
          <w:szCs w:val="20"/>
        </w:rPr>
        <w:t>5.4.2.</w:t>
      </w:r>
      <w:r w:rsidRPr="00C0396F">
        <w:rPr>
          <w:rFonts w:ascii="Lato" w:hAnsi="Lato" w:cs="Arial"/>
          <w:color w:val="auto"/>
          <w:sz w:val="20"/>
          <w:szCs w:val="20"/>
        </w:rPr>
        <w:tab/>
        <w:t>Parapety wewnętrzne</w:t>
      </w:r>
    </w:p>
    <w:p w14:paraId="61AF02C5" w14:textId="77777777" w:rsidR="007F0A6F" w:rsidRPr="00C0396F" w:rsidRDefault="00B259FF" w:rsidP="00FB6E17">
      <w:pPr>
        <w:spacing w:after="0"/>
        <w:ind w:left="-5" w:right="0"/>
        <w:rPr>
          <w:rFonts w:ascii="Lato" w:hAnsi="Lato" w:cs="Arial"/>
          <w:color w:val="auto"/>
          <w:sz w:val="20"/>
          <w:szCs w:val="20"/>
        </w:rPr>
      </w:pPr>
      <w:r w:rsidRPr="00C0396F">
        <w:rPr>
          <w:rFonts w:ascii="Lato" w:hAnsi="Lato" w:cs="Arial"/>
          <w:color w:val="auto"/>
          <w:sz w:val="20"/>
          <w:szCs w:val="20"/>
        </w:rPr>
        <w:t>Osadzanie parapetu wewnętrznego należy rozpocząć po zakończeniu montażu i uszczelnieniu na obwodzie okna, z uwzględnieniem uszczelnienia pod progiem ościeżnicy.</w:t>
      </w:r>
    </w:p>
    <w:p w14:paraId="120A1955" w14:textId="631090FC" w:rsidR="007F0A6F" w:rsidRPr="00C0396F" w:rsidRDefault="00B259FF" w:rsidP="00FB6E17">
      <w:pPr>
        <w:spacing w:after="0"/>
        <w:ind w:left="-15" w:right="0" w:firstLine="286"/>
        <w:rPr>
          <w:rFonts w:ascii="Lato" w:hAnsi="Lato" w:cs="Arial"/>
          <w:color w:val="auto"/>
          <w:sz w:val="20"/>
          <w:szCs w:val="20"/>
        </w:rPr>
      </w:pPr>
      <w:r w:rsidRPr="00C0396F">
        <w:rPr>
          <w:rFonts w:ascii="Lato" w:hAnsi="Lato" w:cs="Arial"/>
          <w:color w:val="auto"/>
          <w:sz w:val="20"/>
          <w:szCs w:val="20"/>
        </w:rPr>
        <w:t>Parapety wewnętrzne powinny być osadzone w dolnej części ościeża, zgodnie z rozwiązaniami przewidzianymi w dokumentacji projektowej. Płaszczyzna styku parapetu z wrębem ościeżnicy powinna być tak uszczelniona, aby nie dopuścić do przedostawania się wody i pary wodnej do przestrzeni pod progiem ościeżnicy.</w:t>
      </w:r>
    </w:p>
    <w:p w14:paraId="0D96F0FC" w14:textId="77777777" w:rsidR="00922BBE" w:rsidRPr="00C0396F" w:rsidRDefault="00922BBE" w:rsidP="00FB6E17">
      <w:pPr>
        <w:spacing w:after="0"/>
        <w:ind w:left="-15" w:right="0" w:firstLine="286"/>
        <w:rPr>
          <w:rFonts w:ascii="Lato" w:hAnsi="Lato" w:cs="Arial"/>
          <w:color w:val="auto"/>
          <w:sz w:val="20"/>
          <w:szCs w:val="20"/>
        </w:rPr>
      </w:pPr>
    </w:p>
    <w:p w14:paraId="287A9C96" w14:textId="64C3D7BF" w:rsidR="007F0A6F" w:rsidRPr="00C0396F" w:rsidRDefault="00B259FF" w:rsidP="00FB6E17">
      <w:pPr>
        <w:numPr>
          <w:ilvl w:val="0"/>
          <w:numId w:val="19"/>
        </w:numPr>
        <w:spacing w:after="0" w:line="248" w:lineRule="auto"/>
        <w:ind w:right="0" w:hanging="451"/>
        <w:rPr>
          <w:rFonts w:ascii="Lato" w:hAnsi="Lato" w:cs="Arial"/>
          <w:b/>
          <w:bCs/>
          <w:color w:val="auto"/>
          <w:sz w:val="20"/>
          <w:szCs w:val="20"/>
        </w:rPr>
      </w:pPr>
      <w:r w:rsidRPr="00C0396F">
        <w:rPr>
          <w:rFonts w:ascii="Lato" w:hAnsi="Lato" w:cs="Arial"/>
          <w:b/>
          <w:bCs/>
          <w:color w:val="auto"/>
          <w:sz w:val="20"/>
          <w:szCs w:val="20"/>
        </w:rPr>
        <w:t>KONTROLA JAKOŚCI ROBÓT</w:t>
      </w:r>
    </w:p>
    <w:p w14:paraId="4838AE27" w14:textId="77777777" w:rsidR="00922BBE" w:rsidRPr="00C0396F" w:rsidRDefault="00922BBE" w:rsidP="00922BBE">
      <w:pPr>
        <w:spacing w:after="0" w:line="248" w:lineRule="auto"/>
        <w:ind w:left="451" w:right="0" w:firstLine="0"/>
        <w:rPr>
          <w:rFonts w:ascii="Lato" w:hAnsi="Lato" w:cs="Arial"/>
          <w:b/>
          <w:bCs/>
          <w:color w:val="auto"/>
          <w:sz w:val="20"/>
          <w:szCs w:val="20"/>
        </w:rPr>
      </w:pPr>
    </w:p>
    <w:p w14:paraId="02D5DDA5" w14:textId="417DD9FF" w:rsidR="007F0A6F" w:rsidRPr="00C0396F" w:rsidRDefault="00B259FF" w:rsidP="00FB6E17">
      <w:pPr>
        <w:numPr>
          <w:ilvl w:val="1"/>
          <w:numId w:val="19"/>
        </w:numPr>
        <w:spacing w:after="0" w:line="248" w:lineRule="auto"/>
        <w:ind w:right="0" w:hanging="571"/>
        <w:rPr>
          <w:rFonts w:ascii="Lato" w:hAnsi="Lato" w:cs="Arial"/>
          <w:color w:val="auto"/>
          <w:sz w:val="20"/>
          <w:szCs w:val="20"/>
        </w:rPr>
      </w:pPr>
      <w:r w:rsidRPr="00C0396F">
        <w:rPr>
          <w:rFonts w:ascii="Lato" w:hAnsi="Lato" w:cs="Arial"/>
          <w:color w:val="auto"/>
          <w:sz w:val="20"/>
          <w:szCs w:val="20"/>
        </w:rPr>
        <w:t>Ogólne zasady kontroli jakości robót podano w ST „Wymagania ogólne” Kod CPV 45000000-7, pkt 6</w:t>
      </w:r>
    </w:p>
    <w:p w14:paraId="1420DE96" w14:textId="77777777" w:rsidR="00922BBE" w:rsidRPr="00C0396F" w:rsidRDefault="00922BBE" w:rsidP="00922BBE">
      <w:pPr>
        <w:spacing w:after="0" w:line="248" w:lineRule="auto"/>
        <w:ind w:left="1291" w:right="0" w:firstLine="0"/>
        <w:rPr>
          <w:rFonts w:ascii="Lato" w:hAnsi="Lato" w:cs="Arial"/>
          <w:color w:val="auto"/>
          <w:sz w:val="20"/>
          <w:szCs w:val="20"/>
        </w:rPr>
      </w:pPr>
    </w:p>
    <w:p w14:paraId="61A4AA6D" w14:textId="77777777" w:rsidR="007F0A6F" w:rsidRPr="00C0396F" w:rsidRDefault="00B259FF" w:rsidP="00FB6E17">
      <w:pPr>
        <w:numPr>
          <w:ilvl w:val="1"/>
          <w:numId w:val="19"/>
        </w:numPr>
        <w:spacing w:after="0" w:line="248" w:lineRule="auto"/>
        <w:ind w:right="0" w:hanging="571"/>
        <w:rPr>
          <w:rFonts w:ascii="Lato" w:hAnsi="Lato" w:cs="Arial"/>
          <w:b/>
          <w:bCs/>
          <w:color w:val="auto"/>
          <w:sz w:val="20"/>
          <w:szCs w:val="20"/>
        </w:rPr>
      </w:pPr>
      <w:r w:rsidRPr="00C0396F">
        <w:rPr>
          <w:rFonts w:ascii="Lato" w:hAnsi="Lato" w:cs="Arial"/>
          <w:b/>
          <w:bCs/>
          <w:color w:val="auto"/>
          <w:sz w:val="20"/>
          <w:szCs w:val="20"/>
        </w:rPr>
        <w:t xml:space="preserve">Badania przed przystąpieniem do montażu okien i drzwi  </w:t>
      </w:r>
    </w:p>
    <w:p w14:paraId="052B0D3E" w14:textId="77777777" w:rsidR="007F0A6F" w:rsidRPr="00C0396F" w:rsidRDefault="00B259FF" w:rsidP="00FB6E17">
      <w:pPr>
        <w:spacing w:after="0"/>
        <w:ind w:left="-5" w:right="0"/>
        <w:rPr>
          <w:rFonts w:ascii="Lato" w:hAnsi="Lato" w:cs="Arial"/>
          <w:color w:val="auto"/>
          <w:sz w:val="20"/>
          <w:szCs w:val="20"/>
        </w:rPr>
      </w:pPr>
      <w:r w:rsidRPr="00C0396F">
        <w:rPr>
          <w:rFonts w:ascii="Lato" w:hAnsi="Lato" w:cs="Arial"/>
          <w:color w:val="auto"/>
          <w:sz w:val="20"/>
          <w:szCs w:val="20"/>
        </w:rPr>
        <w:t>Przed przystąpieniem do montażu okien i drzwi  należy ocenić stan ścian i przygotowania ościeży do robót montażowych oraz przeprowadzić kontrolę wyrobów  i materiałów wykorzystywanych w tych robotach.</w:t>
      </w:r>
    </w:p>
    <w:p w14:paraId="5FA7AE61" w14:textId="77777777" w:rsidR="007F0A6F" w:rsidRPr="00C0396F" w:rsidRDefault="00B259FF" w:rsidP="00FB6E17">
      <w:pPr>
        <w:spacing w:after="0" w:line="248" w:lineRule="auto"/>
        <w:ind w:left="-5" w:right="1256"/>
        <w:rPr>
          <w:rFonts w:ascii="Lato" w:hAnsi="Lato" w:cs="Arial"/>
          <w:color w:val="auto"/>
          <w:sz w:val="20"/>
          <w:szCs w:val="20"/>
        </w:rPr>
      </w:pPr>
      <w:r w:rsidRPr="00C0396F">
        <w:rPr>
          <w:rFonts w:ascii="Lato" w:hAnsi="Lato" w:cs="Arial"/>
          <w:color w:val="auto"/>
          <w:sz w:val="20"/>
          <w:szCs w:val="20"/>
        </w:rPr>
        <w:t>6.2.1.</w:t>
      </w:r>
      <w:r w:rsidRPr="00C0396F">
        <w:rPr>
          <w:rFonts w:ascii="Lato" w:hAnsi="Lato" w:cs="Arial"/>
          <w:color w:val="auto"/>
          <w:sz w:val="20"/>
          <w:szCs w:val="20"/>
        </w:rPr>
        <w:tab/>
        <w:t>Odbiór robót poprzedzających wykonanie montażu okien i drzwi Przed przystąpieniem do montażu okien należy sprawdzić:</w:t>
      </w:r>
    </w:p>
    <w:p w14:paraId="3ED9BB8B" w14:textId="77777777" w:rsidR="007F0A6F" w:rsidRPr="00C0396F" w:rsidRDefault="00B259FF" w:rsidP="00FB6E17">
      <w:pPr>
        <w:numPr>
          <w:ilvl w:val="0"/>
          <w:numId w:val="20"/>
        </w:numPr>
        <w:spacing w:after="0"/>
        <w:ind w:right="0" w:hanging="420"/>
        <w:rPr>
          <w:rFonts w:ascii="Lato" w:hAnsi="Lato" w:cs="Arial"/>
          <w:color w:val="auto"/>
          <w:sz w:val="20"/>
          <w:szCs w:val="20"/>
        </w:rPr>
      </w:pPr>
      <w:r w:rsidRPr="00C0396F">
        <w:rPr>
          <w:rFonts w:ascii="Lato" w:hAnsi="Lato" w:cs="Arial"/>
          <w:color w:val="auto"/>
          <w:sz w:val="20"/>
          <w:szCs w:val="20"/>
        </w:rPr>
        <w:t>prawidłowość wykonania ścian, zgodnie z odpowiednią szczegółową specyfikacją techniczną,</w:t>
      </w:r>
    </w:p>
    <w:p w14:paraId="41FCAA73" w14:textId="77777777" w:rsidR="007F0A6F" w:rsidRPr="00C0396F" w:rsidRDefault="00B259FF" w:rsidP="00FB6E17">
      <w:pPr>
        <w:numPr>
          <w:ilvl w:val="0"/>
          <w:numId w:val="20"/>
        </w:numPr>
        <w:spacing w:after="0"/>
        <w:ind w:right="0" w:hanging="420"/>
        <w:rPr>
          <w:rFonts w:ascii="Lato" w:hAnsi="Lato" w:cs="Arial"/>
          <w:color w:val="auto"/>
          <w:sz w:val="20"/>
          <w:szCs w:val="20"/>
        </w:rPr>
      </w:pPr>
      <w:r w:rsidRPr="00C0396F">
        <w:rPr>
          <w:rFonts w:ascii="Lato" w:hAnsi="Lato" w:cs="Arial"/>
          <w:color w:val="auto"/>
          <w:sz w:val="20"/>
          <w:szCs w:val="20"/>
        </w:rPr>
        <w:t>rodzaj ościeży (z węgarkiem czy bez węgarka) oraz ich prawidłowość wykonania i stan wykończenia (otynkowane czy nieotynkowane), zgodnie z odpowiednimi szczegółowymi specyfikacjami technicznymi),</w:t>
      </w:r>
    </w:p>
    <w:p w14:paraId="1523C749" w14:textId="77777777" w:rsidR="007F0A6F" w:rsidRPr="00C0396F" w:rsidRDefault="00B259FF" w:rsidP="00FB6E17">
      <w:pPr>
        <w:numPr>
          <w:ilvl w:val="0"/>
          <w:numId w:val="20"/>
        </w:numPr>
        <w:spacing w:after="0"/>
        <w:ind w:right="0" w:hanging="420"/>
        <w:rPr>
          <w:rFonts w:ascii="Lato" w:hAnsi="Lato" w:cs="Arial"/>
          <w:color w:val="auto"/>
          <w:sz w:val="20"/>
          <w:szCs w:val="20"/>
        </w:rPr>
      </w:pPr>
      <w:r w:rsidRPr="00C0396F">
        <w:rPr>
          <w:rFonts w:ascii="Lato" w:hAnsi="Lato" w:cs="Arial"/>
          <w:color w:val="auto"/>
          <w:sz w:val="20"/>
          <w:szCs w:val="20"/>
        </w:rPr>
        <w:t>zgodność wymiarów otworów z wymiarami projektowanymi,</w:t>
      </w:r>
    </w:p>
    <w:p w14:paraId="18A0F644" w14:textId="77777777" w:rsidR="007F0A6F" w:rsidRPr="00C0396F" w:rsidRDefault="00B259FF" w:rsidP="00FB6E17">
      <w:pPr>
        <w:numPr>
          <w:ilvl w:val="0"/>
          <w:numId w:val="20"/>
        </w:numPr>
        <w:spacing w:after="0"/>
        <w:ind w:right="0" w:hanging="420"/>
        <w:rPr>
          <w:rFonts w:ascii="Lato" w:hAnsi="Lato" w:cs="Arial"/>
          <w:color w:val="auto"/>
          <w:sz w:val="20"/>
          <w:szCs w:val="20"/>
        </w:rPr>
      </w:pPr>
      <w:r w:rsidRPr="00C0396F">
        <w:rPr>
          <w:rFonts w:ascii="Lato" w:hAnsi="Lato" w:cs="Arial"/>
          <w:color w:val="auto"/>
          <w:sz w:val="20"/>
          <w:szCs w:val="20"/>
        </w:rPr>
        <w:t>możliwość zabezpieczenia prawidłowego luzu na obwodzie pomiędzy ościeżem a ościeżnicą.</w:t>
      </w:r>
    </w:p>
    <w:p w14:paraId="721451C3" w14:textId="77777777" w:rsidR="007F0A6F" w:rsidRPr="00C0396F" w:rsidRDefault="00B259FF" w:rsidP="00FB6E17">
      <w:pPr>
        <w:spacing w:after="0"/>
        <w:ind w:left="-15" w:right="0" w:firstLine="286"/>
        <w:rPr>
          <w:rFonts w:ascii="Lato" w:hAnsi="Lato" w:cs="Arial"/>
          <w:color w:val="auto"/>
          <w:sz w:val="20"/>
          <w:szCs w:val="20"/>
        </w:rPr>
      </w:pPr>
      <w:r w:rsidRPr="00C0396F">
        <w:rPr>
          <w:rFonts w:ascii="Lato" w:hAnsi="Lato" w:cs="Arial"/>
          <w:color w:val="auto"/>
          <w:sz w:val="20"/>
          <w:szCs w:val="20"/>
        </w:rPr>
        <w:t>Wyniki badań powinny być porównane z wymaganiami podanymi w odpowiednich szczegółowych specyfikacjach technicznych oraz w pkt. 5 niniejszej specyfikacji i odnotowane w dzienniku budowy, a także w formie protokołu kontroli podpisanego przez przedstawicieli inwestora (zamawiającego) oraz wykonawcy.</w:t>
      </w:r>
    </w:p>
    <w:p w14:paraId="1091957C" w14:textId="77777777" w:rsidR="007F0A6F" w:rsidRPr="00C0396F" w:rsidRDefault="00B259FF" w:rsidP="00FB6E17">
      <w:pPr>
        <w:tabs>
          <w:tab w:val="center" w:pos="2899"/>
        </w:tabs>
        <w:spacing w:after="0" w:line="248" w:lineRule="auto"/>
        <w:ind w:left="-15" w:right="0" w:firstLine="0"/>
        <w:jc w:val="left"/>
        <w:rPr>
          <w:rFonts w:ascii="Lato" w:hAnsi="Lato" w:cs="Arial"/>
          <w:color w:val="auto"/>
          <w:sz w:val="20"/>
          <w:szCs w:val="20"/>
        </w:rPr>
      </w:pPr>
      <w:r w:rsidRPr="00C0396F">
        <w:rPr>
          <w:rFonts w:ascii="Lato" w:hAnsi="Lato" w:cs="Arial"/>
          <w:color w:val="auto"/>
          <w:sz w:val="20"/>
          <w:szCs w:val="20"/>
        </w:rPr>
        <w:t>6.2.2.</w:t>
      </w:r>
      <w:r w:rsidRPr="00C0396F">
        <w:rPr>
          <w:rFonts w:ascii="Lato" w:hAnsi="Lato" w:cs="Arial"/>
          <w:color w:val="auto"/>
          <w:sz w:val="20"/>
          <w:szCs w:val="20"/>
        </w:rPr>
        <w:tab/>
        <w:t>Kontrola jakości materiałów i wyrobów</w:t>
      </w:r>
    </w:p>
    <w:p w14:paraId="3C208266" w14:textId="77777777" w:rsidR="007F0A6F" w:rsidRPr="00C0396F" w:rsidRDefault="00B259FF" w:rsidP="00FB6E17">
      <w:pPr>
        <w:spacing w:after="0"/>
        <w:ind w:left="-5" w:right="0"/>
        <w:rPr>
          <w:rFonts w:ascii="Lato" w:hAnsi="Lato" w:cs="Arial"/>
          <w:color w:val="auto"/>
          <w:sz w:val="20"/>
          <w:szCs w:val="20"/>
        </w:rPr>
      </w:pPr>
      <w:r w:rsidRPr="00C0396F">
        <w:rPr>
          <w:rFonts w:ascii="Lato" w:hAnsi="Lato" w:cs="Arial"/>
          <w:color w:val="auto"/>
          <w:sz w:val="20"/>
          <w:szCs w:val="20"/>
        </w:rPr>
        <w:t>Przed rozpoczęciem montażu okien i drzwi  należy sprawdzić:</w:t>
      </w:r>
    </w:p>
    <w:p w14:paraId="4637606A" w14:textId="77777777" w:rsidR="007F0A6F" w:rsidRPr="00C0396F" w:rsidRDefault="00B259FF" w:rsidP="00FB6E17">
      <w:pPr>
        <w:numPr>
          <w:ilvl w:val="0"/>
          <w:numId w:val="20"/>
        </w:numPr>
        <w:spacing w:after="0"/>
        <w:ind w:right="0" w:hanging="420"/>
        <w:rPr>
          <w:rFonts w:ascii="Lato" w:hAnsi="Lato" w:cs="Arial"/>
          <w:color w:val="auto"/>
          <w:sz w:val="20"/>
          <w:szCs w:val="20"/>
        </w:rPr>
      </w:pPr>
      <w:r w:rsidRPr="00C0396F">
        <w:rPr>
          <w:rFonts w:ascii="Lato" w:hAnsi="Lato" w:cs="Arial"/>
          <w:color w:val="auto"/>
          <w:sz w:val="20"/>
          <w:szCs w:val="20"/>
        </w:rPr>
        <w:lastRenderedPageBreak/>
        <w:t>zgodność okien i drzwi  oraz obróbek z aprobatą techniczną lub indywidualną dokumentacją techniczną w zakresie rozwiązań materiałowo-konstrukcyjnych i jakości wykonania,</w:t>
      </w:r>
    </w:p>
    <w:p w14:paraId="557AA8C9" w14:textId="77777777" w:rsidR="007F0A6F" w:rsidRPr="00C0396F" w:rsidRDefault="00B259FF" w:rsidP="00FB6E17">
      <w:pPr>
        <w:numPr>
          <w:ilvl w:val="0"/>
          <w:numId w:val="20"/>
        </w:numPr>
        <w:spacing w:after="0"/>
        <w:ind w:right="0" w:hanging="420"/>
        <w:rPr>
          <w:rFonts w:ascii="Lato" w:hAnsi="Lato" w:cs="Arial"/>
          <w:color w:val="auto"/>
          <w:sz w:val="20"/>
          <w:szCs w:val="20"/>
        </w:rPr>
      </w:pPr>
      <w:r w:rsidRPr="00C0396F">
        <w:rPr>
          <w:rFonts w:ascii="Lato" w:hAnsi="Lato" w:cs="Arial"/>
          <w:color w:val="auto"/>
          <w:sz w:val="20"/>
          <w:szCs w:val="20"/>
        </w:rPr>
        <w:t>zgodność okien i drzwi  oraz obróbek z dokumentacją projektową i niniejszą specyfikacją techniczną,</w:t>
      </w:r>
    </w:p>
    <w:p w14:paraId="5DA9FE89" w14:textId="77777777" w:rsidR="007F0A6F" w:rsidRPr="00C0396F" w:rsidRDefault="00B259FF" w:rsidP="00FB6E17">
      <w:pPr>
        <w:numPr>
          <w:ilvl w:val="0"/>
          <w:numId w:val="20"/>
        </w:numPr>
        <w:spacing w:after="0"/>
        <w:ind w:right="0" w:hanging="420"/>
        <w:rPr>
          <w:rFonts w:ascii="Lato" w:hAnsi="Lato" w:cs="Arial"/>
          <w:color w:val="auto"/>
          <w:sz w:val="20"/>
          <w:szCs w:val="20"/>
        </w:rPr>
      </w:pPr>
      <w:r w:rsidRPr="00C0396F">
        <w:rPr>
          <w:rFonts w:ascii="Lato" w:hAnsi="Lato" w:cs="Arial"/>
          <w:color w:val="auto"/>
          <w:sz w:val="20"/>
          <w:szCs w:val="20"/>
        </w:rPr>
        <w:t>w protokole przyjęcia materiałów na budowę: czy dostawca dostarczył dokumenty świadczące o dopuszczeniu do obrotu i powszechnego lub jednostkowego zastosowania wyrobów używanych w robotach montażowych,</w:t>
      </w:r>
    </w:p>
    <w:p w14:paraId="5D96AD9A" w14:textId="74D1817C" w:rsidR="007F0A6F" w:rsidRPr="00C0396F" w:rsidRDefault="00B259FF" w:rsidP="00FB6E17">
      <w:pPr>
        <w:numPr>
          <w:ilvl w:val="0"/>
          <w:numId w:val="20"/>
        </w:numPr>
        <w:spacing w:after="0"/>
        <w:ind w:right="0" w:hanging="420"/>
        <w:rPr>
          <w:rFonts w:ascii="Lato" w:hAnsi="Lato" w:cs="Arial"/>
          <w:color w:val="auto"/>
          <w:sz w:val="20"/>
          <w:szCs w:val="20"/>
        </w:rPr>
      </w:pPr>
      <w:r w:rsidRPr="00C0396F">
        <w:rPr>
          <w:rFonts w:ascii="Lato" w:hAnsi="Lato" w:cs="Arial"/>
          <w:color w:val="auto"/>
          <w:sz w:val="20"/>
          <w:szCs w:val="20"/>
        </w:rPr>
        <w:t>stan opakowań (oryginalność, szczelność) oraz sposób przechowywania wyrobów i terminy przydatności materiałów uszczelniających.</w:t>
      </w:r>
    </w:p>
    <w:p w14:paraId="246170C1" w14:textId="77777777" w:rsidR="00811269" w:rsidRPr="00C0396F" w:rsidRDefault="00811269" w:rsidP="00811269">
      <w:pPr>
        <w:spacing w:after="0"/>
        <w:ind w:left="420" w:right="0" w:firstLine="0"/>
        <w:rPr>
          <w:rFonts w:ascii="Lato" w:hAnsi="Lato" w:cs="Arial"/>
          <w:color w:val="auto"/>
          <w:sz w:val="20"/>
          <w:szCs w:val="20"/>
        </w:rPr>
      </w:pPr>
    </w:p>
    <w:p w14:paraId="788ED2FF" w14:textId="46BB372A" w:rsidR="007F0A6F" w:rsidRPr="00C0396F" w:rsidRDefault="00B259FF" w:rsidP="00811269">
      <w:pPr>
        <w:pStyle w:val="Akapitzlist"/>
        <w:numPr>
          <w:ilvl w:val="1"/>
          <w:numId w:val="19"/>
        </w:numPr>
        <w:tabs>
          <w:tab w:val="center" w:pos="1795"/>
        </w:tabs>
        <w:spacing w:after="0" w:line="248" w:lineRule="auto"/>
        <w:ind w:right="0" w:hanging="582"/>
        <w:jc w:val="left"/>
        <w:rPr>
          <w:rFonts w:ascii="Lato" w:hAnsi="Lato" w:cs="Arial"/>
          <w:b/>
          <w:bCs/>
          <w:color w:val="auto"/>
          <w:sz w:val="20"/>
          <w:szCs w:val="20"/>
        </w:rPr>
      </w:pPr>
      <w:r w:rsidRPr="00C0396F">
        <w:rPr>
          <w:rFonts w:ascii="Lato" w:hAnsi="Lato" w:cs="Arial"/>
          <w:b/>
          <w:bCs/>
          <w:color w:val="auto"/>
          <w:sz w:val="20"/>
          <w:szCs w:val="20"/>
        </w:rPr>
        <w:t>Badania w czasie robót</w:t>
      </w:r>
    </w:p>
    <w:p w14:paraId="1A41699D" w14:textId="77777777" w:rsidR="007F0A6F" w:rsidRPr="00C0396F" w:rsidRDefault="00B259FF" w:rsidP="00FB6E17">
      <w:pPr>
        <w:spacing w:after="0"/>
        <w:ind w:left="-5" w:right="0"/>
        <w:rPr>
          <w:rFonts w:ascii="Lato" w:hAnsi="Lato" w:cs="Arial"/>
          <w:color w:val="auto"/>
          <w:sz w:val="20"/>
          <w:szCs w:val="20"/>
        </w:rPr>
      </w:pPr>
      <w:r w:rsidRPr="00C0396F">
        <w:rPr>
          <w:rFonts w:ascii="Lato" w:hAnsi="Lato" w:cs="Arial"/>
          <w:color w:val="auto"/>
          <w:sz w:val="20"/>
          <w:szCs w:val="20"/>
        </w:rPr>
        <w:t>Badania w czasie robót polegają na sprawdzeniu zgodności wykonywania robót montażowych z dokumentacją projektową, wymaganiami niniejszej specyfikacji i kartami technicznymi lub instrukcjami producentów. Badania te w szczególności powinny polegać na sprawdzeniu prawidłowości wykonania:</w:t>
      </w:r>
    </w:p>
    <w:p w14:paraId="5A7D71F1" w14:textId="77777777" w:rsidR="007F0A6F" w:rsidRPr="00C0396F" w:rsidRDefault="00B259FF" w:rsidP="00FB6E17">
      <w:pPr>
        <w:numPr>
          <w:ilvl w:val="0"/>
          <w:numId w:val="20"/>
        </w:numPr>
        <w:spacing w:after="0"/>
        <w:ind w:right="0" w:hanging="420"/>
        <w:rPr>
          <w:rFonts w:ascii="Lato" w:hAnsi="Lato" w:cs="Arial"/>
          <w:color w:val="auto"/>
          <w:sz w:val="20"/>
          <w:szCs w:val="20"/>
        </w:rPr>
      </w:pPr>
      <w:r w:rsidRPr="00C0396F">
        <w:rPr>
          <w:rFonts w:ascii="Lato" w:hAnsi="Lato" w:cs="Arial"/>
          <w:color w:val="auto"/>
          <w:sz w:val="20"/>
          <w:szCs w:val="20"/>
        </w:rPr>
        <w:t>podparcia progu ościeżnicy,</w:t>
      </w:r>
    </w:p>
    <w:p w14:paraId="19891673" w14:textId="77777777" w:rsidR="007F0A6F" w:rsidRPr="00C0396F" w:rsidRDefault="00B259FF" w:rsidP="00FB6E17">
      <w:pPr>
        <w:numPr>
          <w:ilvl w:val="0"/>
          <w:numId w:val="20"/>
        </w:numPr>
        <w:spacing w:after="0"/>
        <w:ind w:right="0" w:hanging="420"/>
        <w:rPr>
          <w:rFonts w:ascii="Lato" w:hAnsi="Lato" w:cs="Arial"/>
          <w:color w:val="auto"/>
          <w:sz w:val="20"/>
          <w:szCs w:val="20"/>
        </w:rPr>
      </w:pPr>
      <w:r w:rsidRPr="00C0396F">
        <w:rPr>
          <w:rFonts w:ascii="Lato" w:hAnsi="Lato" w:cs="Arial"/>
          <w:color w:val="auto"/>
          <w:sz w:val="20"/>
          <w:szCs w:val="20"/>
        </w:rPr>
        <w:t>zamocowania mechanicznego okna lub drzwi na całym obwodzie ościeżnicy (zachowania odstępów między łącznikami mechanicznymi),</w:t>
      </w:r>
    </w:p>
    <w:p w14:paraId="3B2F02D5" w14:textId="77777777" w:rsidR="007F0A6F" w:rsidRPr="00C0396F" w:rsidRDefault="00B259FF" w:rsidP="00FB6E17">
      <w:pPr>
        <w:numPr>
          <w:ilvl w:val="0"/>
          <w:numId w:val="20"/>
        </w:numPr>
        <w:spacing w:after="0"/>
        <w:ind w:right="0" w:hanging="420"/>
        <w:rPr>
          <w:rFonts w:ascii="Lato" w:hAnsi="Lato" w:cs="Arial"/>
          <w:color w:val="auto"/>
          <w:sz w:val="20"/>
          <w:szCs w:val="20"/>
        </w:rPr>
      </w:pPr>
      <w:r w:rsidRPr="00C0396F">
        <w:rPr>
          <w:rFonts w:ascii="Lato" w:hAnsi="Lato" w:cs="Arial"/>
          <w:color w:val="auto"/>
          <w:sz w:val="20"/>
          <w:szCs w:val="20"/>
        </w:rPr>
        <w:t>izolacji termicznej szczeliny między oknem a ościeżem, ze szczególnym zwróceniem uwagi na wykonanie izolacji pod progiem ościeżnicy,</w:t>
      </w:r>
    </w:p>
    <w:p w14:paraId="158C830B" w14:textId="77777777" w:rsidR="007F0A6F" w:rsidRPr="00C0396F" w:rsidRDefault="00B259FF" w:rsidP="00FB6E17">
      <w:pPr>
        <w:numPr>
          <w:ilvl w:val="0"/>
          <w:numId w:val="20"/>
        </w:numPr>
        <w:spacing w:after="0"/>
        <w:ind w:right="0" w:hanging="420"/>
        <w:rPr>
          <w:rFonts w:ascii="Lato" w:hAnsi="Lato" w:cs="Arial"/>
          <w:color w:val="auto"/>
          <w:sz w:val="20"/>
          <w:szCs w:val="20"/>
        </w:rPr>
      </w:pPr>
      <w:r w:rsidRPr="00C0396F">
        <w:rPr>
          <w:rFonts w:ascii="Lato" w:hAnsi="Lato" w:cs="Arial"/>
          <w:color w:val="auto"/>
          <w:sz w:val="20"/>
          <w:szCs w:val="20"/>
        </w:rPr>
        <w:t>uszczelnienia zewnętrznego i wewnętrznego szczeliny między oknem a ościeżem, ze szczególnym uwzględnieniem rodzaju zastosowanych materiałów uszczelniających i przestrzegania zaleceń technologicznych,</w:t>
      </w:r>
    </w:p>
    <w:p w14:paraId="4A8BF26B" w14:textId="77777777" w:rsidR="007F0A6F" w:rsidRPr="00C0396F" w:rsidRDefault="00B259FF" w:rsidP="00FB6E17">
      <w:pPr>
        <w:numPr>
          <w:ilvl w:val="0"/>
          <w:numId w:val="20"/>
        </w:numPr>
        <w:spacing w:after="0"/>
        <w:ind w:right="0" w:hanging="420"/>
        <w:rPr>
          <w:rFonts w:ascii="Lato" w:hAnsi="Lato" w:cs="Arial"/>
          <w:color w:val="auto"/>
          <w:sz w:val="20"/>
          <w:szCs w:val="20"/>
        </w:rPr>
      </w:pPr>
      <w:r w:rsidRPr="00C0396F">
        <w:rPr>
          <w:rFonts w:ascii="Lato" w:hAnsi="Lato" w:cs="Arial"/>
          <w:color w:val="auto"/>
          <w:sz w:val="20"/>
          <w:szCs w:val="20"/>
        </w:rPr>
        <w:t>obróbek progu drzwi,</w:t>
      </w:r>
    </w:p>
    <w:p w14:paraId="75DFE043" w14:textId="77777777" w:rsidR="007F0A6F" w:rsidRPr="00C0396F" w:rsidRDefault="00B259FF" w:rsidP="00FB6E17">
      <w:pPr>
        <w:numPr>
          <w:ilvl w:val="0"/>
          <w:numId w:val="20"/>
        </w:numPr>
        <w:spacing w:after="0"/>
        <w:ind w:right="0" w:hanging="420"/>
        <w:rPr>
          <w:rFonts w:ascii="Lato" w:hAnsi="Lato" w:cs="Arial"/>
          <w:color w:val="auto"/>
          <w:sz w:val="20"/>
          <w:szCs w:val="20"/>
        </w:rPr>
      </w:pPr>
      <w:r w:rsidRPr="00C0396F">
        <w:rPr>
          <w:rFonts w:ascii="Lato" w:hAnsi="Lato" w:cs="Arial"/>
          <w:color w:val="auto"/>
          <w:sz w:val="20"/>
          <w:szCs w:val="20"/>
        </w:rPr>
        <w:t>osadzenia parapetu zewnętrznego i wewnętrznego.</w:t>
      </w:r>
    </w:p>
    <w:p w14:paraId="28AB7209" w14:textId="4C48BD95" w:rsidR="007F0A6F" w:rsidRPr="00C0396F" w:rsidRDefault="00B259FF" w:rsidP="00FB6E17">
      <w:pPr>
        <w:spacing w:after="0"/>
        <w:ind w:left="-15" w:right="0" w:firstLine="286"/>
        <w:rPr>
          <w:rFonts w:ascii="Lato" w:hAnsi="Lato" w:cs="Arial"/>
          <w:color w:val="auto"/>
          <w:sz w:val="20"/>
          <w:szCs w:val="20"/>
        </w:rPr>
      </w:pPr>
      <w:r w:rsidRPr="00C0396F">
        <w:rPr>
          <w:rFonts w:ascii="Lato" w:hAnsi="Lato" w:cs="Arial"/>
          <w:color w:val="auto"/>
          <w:sz w:val="20"/>
          <w:szCs w:val="20"/>
        </w:rPr>
        <w:t>Wyniki badań powinny być porównane z wymaganiami podanymi w pkt. 5 niniejszej specyfikacji, odnotowane w formie protokołu kontroli, wpisane do dziennika budowy i akceptowane przez inspektora nadzoru.</w:t>
      </w:r>
    </w:p>
    <w:p w14:paraId="1D9DE009" w14:textId="77777777" w:rsidR="00811269" w:rsidRPr="00C0396F" w:rsidRDefault="00811269" w:rsidP="00FB6E17">
      <w:pPr>
        <w:spacing w:after="0"/>
        <w:ind w:left="-15" w:right="0" w:firstLine="286"/>
        <w:rPr>
          <w:rFonts w:ascii="Lato" w:hAnsi="Lato" w:cs="Arial"/>
          <w:color w:val="auto"/>
          <w:sz w:val="20"/>
          <w:szCs w:val="20"/>
        </w:rPr>
      </w:pPr>
    </w:p>
    <w:p w14:paraId="54429B4F" w14:textId="3C42CEE3" w:rsidR="007F0A6F" w:rsidRPr="00C0396F" w:rsidRDefault="00C959E3" w:rsidP="00C959E3">
      <w:pPr>
        <w:tabs>
          <w:tab w:val="center" w:pos="709"/>
        </w:tabs>
        <w:spacing w:after="0" w:line="248" w:lineRule="auto"/>
        <w:ind w:left="-15" w:right="0" w:firstLine="0"/>
        <w:jc w:val="left"/>
        <w:rPr>
          <w:rFonts w:ascii="Lato" w:hAnsi="Lato" w:cs="Arial"/>
          <w:b/>
          <w:bCs/>
          <w:color w:val="auto"/>
          <w:sz w:val="20"/>
          <w:szCs w:val="20"/>
        </w:rPr>
      </w:pPr>
      <w:r w:rsidRPr="00C0396F">
        <w:rPr>
          <w:rFonts w:ascii="Lato" w:hAnsi="Lato" w:cs="Arial"/>
          <w:b/>
          <w:bCs/>
          <w:color w:val="auto"/>
          <w:sz w:val="20"/>
          <w:szCs w:val="20"/>
        </w:rPr>
        <w:tab/>
      </w:r>
      <w:r w:rsidR="00B259FF" w:rsidRPr="00C0396F">
        <w:rPr>
          <w:rFonts w:ascii="Lato" w:hAnsi="Lato" w:cs="Arial"/>
          <w:b/>
          <w:bCs/>
          <w:color w:val="auto"/>
          <w:sz w:val="20"/>
          <w:szCs w:val="20"/>
        </w:rPr>
        <w:t>6.4.</w:t>
      </w:r>
      <w:r w:rsidR="00B259FF" w:rsidRPr="00C0396F">
        <w:rPr>
          <w:rFonts w:ascii="Lato" w:hAnsi="Lato" w:cs="Arial"/>
          <w:b/>
          <w:bCs/>
          <w:color w:val="auto"/>
          <w:sz w:val="20"/>
          <w:szCs w:val="20"/>
        </w:rPr>
        <w:tab/>
        <w:t>Badania w czasie odbioru robót</w:t>
      </w:r>
    </w:p>
    <w:p w14:paraId="1A4D0FF3" w14:textId="77777777" w:rsidR="007F0A6F" w:rsidRPr="00C0396F" w:rsidRDefault="00B259FF" w:rsidP="00FB6E17">
      <w:pPr>
        <w:spacing w:after="0"/>
        <w:ind w:left="-5" w:right="0"/>
        <w:rPr>
          <w:rFonts w:ascii="Lato" w:hAnsi="Lato" w:cs="Arial"/>
          <w:color w:val="auto"/>
          <w:sz w:val="20"/>
          <w:szCs w:val="20"/>
        </w:rPr>
      </w:pPr>
      <w:r w:rsidRPr="00C0396F">
        <w:rPr>
          <w:rFonts w:ascii="Lato" w:hAnsi="Lato" w:cs="Arial"/>
          <w:color w:val="auto"/>
          <w:sz w:val="20"/>
          <w:szCs w:val="20"/>
        </w:rPr>
        <w:t>Badania w czasie odbioru robót przeprowadza się celem oceny czy spełnione zostały wszystkie wymagania dotyczące montażu okien i/lub drzwi, w szczególności w zakresie:</w:t>
      </w:r>
    </w:p>
    <w:p w14:paraId="1969A67C" w14:textId="77777777" w:rsidR="007F0A6F" w:rsidRPr="00C0396F" w:rsidRDefault="00B259FF" w:rsidP="00FB6E17">
      <w:pPr>
        <w:numPr>
          <w:ilvl w:val="0"/>
          <w:numId w:val="20"/>
        </w:numPr>
        <w:spacing w:after="0"/>
        <w:ind w:right="0" w:hanging="420"/>
        <w:rPr>
          <w:rFonts w:ascii="Lato" w:hAnsi="Lato" w:cs="Arial"/>
          <w:color w:val="auto"/>
          <w:sz w:val="20"/>
          <w:szCs w:val="20"/>
        </w:rPr>
      </w:pPr>
      <w:r w:rsidRPr="00C0396F">
        <w:rPr>
          <w:rFonts w:ascii="Lato" w:hAnsi="Lato" w:cs="Arial"/>
          <w:color w:val="auto"/>
          <w:sz w:val="20"/>
          <w:szCs w:val="20"/>
        </w:rPr>
        <w:t>zgodności z dokumentacją projektową, Szczegółową Specyfikacją Techniczną  wraz z wprowadzonymi zmianami naniesionymi w dokumentacji powykonawczej,</w:t>
      </w:r>
    </w:p>
    <w:p w14:paraId="0524A849" w14:textId="77777777" w:rsidR="007F0A6F" w:rsidRPr="00C0396F" w:rsidRDefault="00B259FF" w:rsidP="00FB6E17">
      <w:pPr>
        <w:numPr>
          <w:ilvl w:val="0"/>
          <w:numId w:val="20"/>
        </w:numPr>
        <w:spacing w:after="0"/>
        <w:ind w:right="0" w:hanging="420"/>
        <w:rPr>
          <w:rFonts w:ascii="Lato" w:hAnsi="Lato" w:cs="Arial"/>
          <w:color w:val="auto"/>
          <w:sz w:val="20"/>
          <w:szCs w:val="20"/>
        </w:rPr>
      </w:pPr>
      <w:r w:rsidRPr="00C0396F">
        <w:rPr>
          <w:rFonts w:ascii="Lato" w:hAnsi="Lato" w:cs="Arial"/>
          <w:color w:val="auto"/>
          <w:sz w:val="20"/>
          <w:szCs w:val="20"/>
        </w:rPr>
        <w:t>jakości zastosowanych materiałów i wyrobów,</w:t>
      </w:r>
    </w:p>
    <w:p w14:paraId="31F3EA53" w14:textId="77777777" w:rsidR="00C959E3" w:rsidRPr="00C0396F" w:rsidRDefault="00B259FF" w:rsidP="00C959E3">
      <w:pPr>
        <w:numPr>
          <w:ilvl w:val="0"/>
          <w:numId w:val="20"/>
        </w:numPr>
        <w:spacing w:after="0"/>
        <w:ind w:right="0" w:hanging="420"/>
        <w:rPr>
          <w:rFonts w:ascii="Lato" w:hAnsi="Lato" w:cs="Arial"/>
          <w:color w:val="auto"/>
          <w:sz w:val="20"/>
          <w:szCs w:val="20"/>
        </w:rPr>
      </w:pPr>
      <w:r w:rsidRPr="00C0396F">
        <w:rPr>
          <w:rFonts w:ascii="Lato" w:hAnsi="Lato" w:cs="Arial"/>
          <w:color w:val="auto"/>
          <w:sz w:val="20"/>
          <w:szCs w:val="20"/>
        </w:rPr>
        <w:t xml:space="preserve">prawidłowości oceny robót poprzedzających wykonanie montażu, </w:t>
      </w:r>
    </w:p>
    <w:p w14:paraId="6A58A5B3" w14:textId="14131CC1" w:rsidR="007F0A6F" w:rsidRPr="00C0396F" w:rsidRDefault="00B259FF" w:rsidP="00C959E3">
      <w:pPr>
        <w:numPr>
          <w:ilvl w:val="0"/>
          <w:numId w:val="20"/>
        </w:numPr>
        <w:spacing w:after="0"/>
        <w:ind w:right="0" w:hanging="420"/>
        <w:rPr>
          <w:rFonts w:ascii="Lato" w:hAnsi="Lato" w:cs="Arial"/>
          <w:color w:val="auto"/>
          <w:sz w:val="20"/>
          <w:szCs w:val="20"/>
        </w:rPr>
      </w:pPr>
      <w:r w:rsidRPr="00C0396F">
        <w:rPr>
          <w:rFonts w:ascii="Lato" w:hAnsi="Lato" w:cs="Arial"/>
          <w:color w:val="auto"/>
          <w:sz w:val="20"/>
          <w:szCs w:val="20"/>
        </w:rPr>
        <w:t>jakości robót montażowych.</w:t>
      </w:r>
    </w:p>
    <w:p w14:paraId="65D9B22C" w14:textId="77777777" w:rsidR="007F0A6F" w:rsidRPr="00C0396F" w:rsidRDefault="00B259FF" w:rsidP="00FB6E17">
      <w:pPr>
        <w:spacing w:after="0"/>
        <w:ind w:left="-15" w:right="0" w:firstLine="286"/>
        <w:rPr>
          <w:rFonts w:ascii="Lato" w:hAnsi="Lato" w:cs="Arial"/>
          <w:color w:val="auto"/>
          <w:sz w:val="20"/>
          <w:szCs w:val="20"/>
        </w:rPr>
      </w:pPr>
      <w:r w:rsidRPr="00C0396F">
        <w:rPr>
          <w:rFonts w:ascii="Lato" w:hAnsi="Lato" w:cs="Arial"/>
          <w:color w:val="auto"/>
          <w:sz w:val="20"/>
          <w:szCs w:val="20"/>
        </w:rPr>
        <w:t>Przy badaniach w czasie odbioru robót należy wykorzystywać wyniki badań dokonanych przed przystąpieniem do robót i w trakcie ich wykonywania oraz zapisy w dzienniku budowy dotyczące wykonanych robót.</w:t>
      </w:r>
    </w:p>
    <w:p w14:paraId="6B951C45" w14:textId="77777777" w:rsidR="007F0A6F" w:rsidRPr="00C0396F" w:rsidRDefault="00B259FF" w:rsidP="00FB6E17">
      <w:pPr>
        <w:spacing w:after="0"/>
        <w:ind w:left="-15" w:right="0" w:firstLine="286"/>
        <w:rPr>
          <w:rFonts w:ascii="Lato" w:hAnsi="Lato" w:cs="Arial"/>
          <w:color w:val="auto"/>
          <w:sz w:val="20"/>
          <w:szCs w:val="20"/>
        </w:rPr>
      </w:pPr>
      <w:r w:rsidRPr="00C0396F">
        <w:rPr>
          <w:rFonts w:ascii="Lato" w:hAnsi="Lato" w:cs="Arial"/>
          <w:color w:val="auto"/>
          <w:sz w:val="20"/>
          <w:szCs w:val="20"/>
        </w:rPr>
        <w:t>Badania sprawdzające jakość wbudowania okien i/lub drzwi, według pkt. 5.4. Warunków technicznych wykonania i odbioru robót budowlanych. Część B – Roboty wykończeniowe, zeszyt 6 „Montaż okien i drzwi balkonowych”, wydanie ITB – 2011 rok:</w:t>
      </w:r>
    </w:p>
    <w:p w14:paraId="526A7E8C" w14:textId="77777777" w:rsidR="007F0A6F" w:rsidRPr="00C0396F" w:rsidRDefault="00B259FF" w:rsidP="00FB6E17">
      <w:pPr>
        <w:numPr>
          <w:ilvl w:val="0"/>
          <w:numId w:val="21"/>
        </w:numPr>
        <w:spacing w:after="0"/>
        <w:ind w:right="0" w:hanging="286"/>
        <w:rPr>
          <w:rFonts w:ascii="Lato" w:hAnsi="Lato" w:cs="Arial"/>
          <w:color w:val="auto"/>
          <w:sz w:val="20"/>
          <w:szCs w:val="20"/>
        </w:rPr>
      </w:pPr>
      <w:r w:rsidRPr="00C0396F">
        <w:rPr>
          <w:rFonts w:ascii="Lato" w:hAnsi="Lato" w:cs="Arial"/>
          <w:color w:val="auto"/>
          <w:sz w:val="20"/>
          <w:szCs w:val="20"/>
        </w:rPr>
        <w:t>sprawdzenie zgodności z dokumentacją – powinno być przeprowadzone przez porównanie wykonanych robót z dokumentacją projektową i specyfikacją techniczną wraz ze zmianami naniesionymi w dokumentacji powykonawczej; sprawdzenia zgodności dokonuje się na podstawie oględzin zewnętrznych oraz pomiarów długości i wysokości,</w:t>
      </w:r>
    </w:p>
    <w:p w14:paraId="5A85A7E2" w14:textId="77777777" w:rsidR="007F0A6F" w:rsidRPr="00C0396F" w:rsidRDefault="00B259FF" w:rsidP="00FB6E17">
      <w:pPr>
        <w:numPr>
          <w:ilvl w:val="0"/>
          <w:numId w:val="21"/>
        </w:numPr>
        <w:spacing w:after="0"/>
        <w:ind w:right="0" w:hanging="286"/>
        <w:rPr>
          <w:rFonts w:ascii="Lato" w:hAnsi="Lato" w:cs="Arial"/>
          <w:color w:val="auto"/>
          <w:sz w:val="20"/>
          <w:szCs w:val="20"/>
        </w:rPr>
      </w:pPr>
      <w:r w:rsidRPr="00C0396F">
        <w:rPr>
          <w:rFonts w:ascii="Lato" w:hAnsi="Lato" w:cs="Arial"/>
          <w:color w:val="auto"/>
          <w:sz w:val="20"/>
          <w:szCs w:val="20"/>
        </w:rPr>
        <w:t>sprawdzenie odchylania od pionu i poziomu – odchylenie od pionu i poziomu przy długości elementu do 3 m nie powinno przekraczać 1,5 mm/m i nie więcej niż 3 mm łącznie,</w:t>
      </w:r>
    </w:p>
    <w:p w14:paraId="54867FF0" w14:textId="77777777" w:rsidR="007F0A6F" w:rsidRPr="00C0396F" w:rsidRDefault="00B259FF" w:rsidP="00FB6E17">
      <w:pPr>
        <w:numPr>
          <w:ilvl w:val="0"/>
          <w:numId w:val="21"/>
        </w:numPr>
        <w:spacing w:after="0"/>
        <w:ind w:right="0" w:hanging="286"/>
        <w:rPr>
          <w:rFonts w:ascii="Lato" w:hAnsi="Lato" w:cs="Arial"/>
          <w:color w:val="auto"/>
          <w:sz w:val="20"/>
          <w:szCs w:val="20"/>
        </w:rPr>
      </w:pPr>
      <w:r w:rsidRPr="00C0396F">
        <w:rPr>
          <w:rFonts w:ascii="Lato" w:hAnsi="Lato" w:cs="Arial"/>
          <w:color w:val="auto"/>
          <w:sz w:val="20"/>
          <w:szCs w:val="20"/>
        </w:rPr>
        <w:t>sprawdzenie różnicy długości przekątnych ościeżnicy i skrzydeł – różnica długości przekątnych nie powinna być większa od 2 mm przy długości elementów do 2 m i 3 mm przy długości powyżej 2 m,</w:t>
      </w:r>
    </w:p>
    <w:p w14:paraId="46E6F72C" w14:textId="77777777" w:rsidR="007F0A6F" w:rsidRPr="00C0396F" w:rsidRDefault="00B259FF" w:rsidP="00FB6E17">
      <w:pPr>
        <w:numPr>
          <w:ilvl w:val="0"/>
          <w:numId w:val="21"/>
        </w:numPr>
        <w:spacing w:after="0"/>
        <w:ind w:right="0" w:hanging="286"/>
        <w:rPr>
          <w:rFonts w:ascii="Lato" w:hAnsi="Lato" w:cs="Arial"/>
          <w:color w:val="auto"/>
          <w:sz w:val="20"/>
          <w:szCs w:val="20"/>
        </w:rPr>
      </w:pPr>
      <w:r w:rsidRPr="00C0396F">
        <w:rPr>
          <w:rFonts w:ascii="Lato" w:hAnsi="Lato" w:cs="Arial"/>
          <w:color w:val="auto"/>
          <w:sz w:val="20"/>
          <w:szCs w:val="20"/>
        </w:rPr>
        <w:t xml:space="preserve">sprawdzenie prawidłowości otwierania oraz zamykania – otwieranie oraz zamykanie skrzydeł powinno odbywać się płynnie i bez </w:t>
      </w:r>
      <w:proofErr w:type="spellStart"/>
      <w:r w:rsidRPr="00C0396F">
        <w:rPr>
          <w:rFonts w:ascii="Lato" w:hAnsi="Lato" w:cs="Arial"/>
          <w:color w:val="auto"/>
          <w:sz w:val="20"/>
          <w:szCs w:val="20"/>
        </w:rPr>
        <w:t>zahamowań</w:t>
      </w:r>
      <w:proofErr w:type="spellEnd"/>
      <w:r w:rsidRPr="00C0396F">
        <w:rPr>
          <w:rFonts w:ascii="Lato" w:hAnsi="Lato" w:cs="Arial"/>
          <w:color w:val="auto"/>
          <w:sz w:val="20"/>
          <w:szCs w:val="20"/>
        </w:rPr>
        <w:t>, otwarte skrzydło nie powinno pod własnym ciężarem samoczynnie zamykać się lub otwierać,</w:t>
      </w:r>
    </w:p>
    <w:p w14:paraId="25A53CC9" w14:textId="77777777" w:rsidR="007F0A6F" w:rsidRPr="00C0396F" w:rsidRDefault="00B259FF" w:rsidP="00FB6E17">
      <w:pPr>
        <w:numPr>
          <w:ilvl w:val="0"/>
          <w:numId w:val="21"/>
        </w:numPr>
        <w:spacing w:after="0"/>
        <w:ind w:right="0" w:hanging="286"/>
        <w:rPr>
          <w:rFonts w:ascii="Lato" w:hAnsi="Lato" w:cs="Arial"/>
          <w:color w:val="auto"/>
          <w:sz w:val="20"/>
          <w:szCs w:val="20"/>
        </w:rPr>
      </w:pPr>
      <w:r w:rsidRPr="00C0396F">
        <w:rPr>
          <w:rFonts w:ascii="Lato" w:hAnsi="Lato" w:cs="Arial"/>
          <w:color w:val="auto"/>
          <w:sz w:val="20"/>
          <w:szCs w:val="20"/>
        </w:rPr>
        <w:t>sprawdzenie szczelności zamontowanego okna/drzwi  i prawidłowości regulacji okuć – zamknięte skrzydło powinno przylegać równomiernie do ościeżnicy zapewniając szczelność między tymi elementami.</w:t>
      </w:r>
    </w:p>
    <w:p w14:paraId="4F19B0C7" w14:textId="54AE6C18" w:rsidR="007F0A6F" w:rsidRPr="00C0396F" w:rsidRDefault="00B259FF" w:rsidP="00FB6E17">
      <w:pPr>
        <w:spacing w:after="0"/>
        <w:ind w:left="-15" w:right="0" w:firstLine="286"/>
        <w:rPr>
          <w:rFonts w:ascii="Lato" w:hAnsi="Lato" w:cs="Arial"/>
          <w:color w:val="auto"/>
          <w:sz w:val="20"/>
          <w:szCs w:val="20"/>
        </w:rPr>
      </w:pPr>
      <w:r w:rsidRPr="00C0396F">
        <w:rPr>
          <w:rFonts w:ascii="Lato" w:hAnsi="Lato" w:cs="Arial"/>
          <w:color w:val="auto"/>
          <w:sz w:val="20"/>
          <w:szCs w:val="20"/>
        </w:rPr>
        <w:t>Wyniki badań powinny być porównane z niniejszymi wymaganiami, a także podanymi w pkt. 5. oraz opisane w dzienniku budowy i protokole podpisanym przez przedstawicieli inwestora (zamawiającego) oraz wykonawcy.</w:t>
      </w:r>
    </w:p>
    <w:p w14:paraId="4275BC1F" w14:textId="77777777" w:rsidR="00C959E3" w:rsidRPr="00C0396F" w:rsidRDefault="00C959E3" w:rsidP="00FB6E17">
      <w:pPr>
        <w:spacing w:after="0"/>
        <w:ind w:left="-15" w:right="0" w:firstLine="286"/>
        <w:rPr>
          <w:rFonts w:ascii="Lato" w:hAnsi="Lato" w:cs="Arial"/>
          <w:color w:val="auto"/>
          <w:sz w:val="20"/>
          <w:szCs w:val="20"/>
        </w:rPr>
      </w:pPr>
    </w:p>
    <w:p w14:paraId="279FA041" w14:textId="110C9E1D" w:rsidR="007F0A6F" w:rsidRPr="00C0396F" w:rsidRDefault="00B259FF" w:rsidP="00FB6E17">
      <w:pPr>
        <w:numPr>
          <w:ilvl w:val="0"/>
          <w:numId w:val="22"/>
        </w:numPr>
        <w:spacing w:after="0" w:line="248" w:lineRule="auto"/>
        <w:ind w:right="0" w:hanging="451"/>
        <w:rPr>
          <w:rFonts w:ascii="Lato" w:hAnsi="Lato" w:cs="Arial"/>
          <w:b/>
          <w:bCs/>
          <w:color w:val="auto"/>
          <w:sz w:val="20"/>
          <w:szCs w:val="20"/>
        </w:rPr>
      </w:pPr>
      <w:r w:rsidRPr="00C0396F">
        <w:rPr>
          <w:rFonts w:ascii="Lato" w:hAnsi="Lato" w:cs="Arial"/>
          <w:b/>
          <w:bCs/>
          <w:color w:val="auto"/>
          <w:sz w:val="20"/>
          <w:szCs w:val="20"/>
        </w:rPr>
        <w:t>WYMAGANIA DOTYCZĄCE PRZEDMIARU I OBMIARU ROBÓT</w:t>
      </w:r>
    </w:p>
    <w:p w14:paraId="2C1A8904" w14:textId="77777777" w:rsidR="004138D3" w:rsidRPr="00C0396F" w:rsidRDefault="004138D3" w:rsidP="004138D3">
      <w:pPr>
        <w:spacing w:after="0" w:line="248" w:lineRule="auto"/>
        <w:ind w:left="451" w:right="0" w:firstLine="0"/>
        <w:rPr>
          <w:rFonts w:ascii="Lato" w:hAnsi="Lato" w:cs="Arial"/>
          <w:b/>
          <w:bCs/>
          <w:color w:val="auto"/>
          <w:sz w:val="20"/>
          <w:szCs w:val="20"/>
        </w:rPr>
      </w:pPr>
    </w:p>
    <w:p w14:paraId="31D3AEE9" w14:textId="11072710" w:rsidR="007F0A6F" w:rsidRPr="00C0396F" w:rsidRDefault="00B259FF" w:rsidP="00FB6E17">
      <w:pPr>
        <w:numPr>
          <w:ilvl w:val="1"/>
          <w:numId w:val="22"/>
        </w:numPr>
        <w:spacing w:after="0" w:line="248" w:lineRule="auto"/>
        <w:ind w:right="450" w:hanging="571"/>
        <w:rPr>
          <w:rFonts w:ascii="Lato" w:hAnsi="Lato" w:cs="Arial"/>
          <w:color w:val="auto"/>
          <w:sz w:val="20"/>
          <w:szCs w:val="20"/>
        </w:rPr>
      </w:pPr>
      <w:r w:rsidRPr="00C0396F">
        <w:rPr>
          <w:rFonts w:ascii="Lato" w:hAnsi="Lato" w:cs="Arial"/>
          <w:color w:val="auto"/>
          <w:sz w:val="20"/>
          <w:szCs w:val="20"/>
        </w:rPr>
        <w:lastRenderedPageBreak/>
        <w:t>Ogólne zasady przedmiaru i obmiaru podano w ST „Wymagania ogólne” Kod CPV 45000000-7, pkt 7</w:t>
      </w:r>
    </w:p>
    <w:p w14:paraId="5A7244A9" w14:textId="77777777" w:rsidR="004138D3" w:rsidRPr="00C0396F" w:rsidRDefault="004138D3" w:rsidP="004138D3">
      <w:pPr>
        <w:spacing w:after="0" w:line="248" w:lineRule="auto"/>
        <w:ind w:left="1291" w:right="450" w:firstLine="0"/>
        <w:rPr>
          <w:rFonts w:ascii="Lato" w:hAnsi="Lato" w:cs="Arial"/>
          <w:color w:val="auto"/>
          <w:sz w:val="20"/>
          <w:szCs w:val="20"/>
        </w:rPr>
      </w:pPr>
    </w:p>
    <w:p w14:paraId="4BB1136A" w14:textId="3863A224" w:rsidR="007F0A6F" w:rsidRPr="00C0396F" w:rsidRDefault="00B259FF" w:rsidP="004138D3">
      <w:pPr>
        <w:numPr>
          <w:ilvl w:val="1"/>
          <w:numId w:val="22"/>
        </w:numPr>
        <w:spacing w:after="0"/>
        <w:ind w:right="450" w:hanging="571"/>
        <w:rPr>
          <w:rFonts w:ascii="Lato" w:hAnsi="Lato" w:cs="Arial"/>
          <w:color w:val="auto"/>
          <w:sz w:val="20"/>
          <w:szCs w:val="20"/>
        </w:rPr>
      </w:pPr>
      <w:r w:rsidRPr="00C0396F">
        <w:rPr>
          <w:rFonts w:ascii="Lato" w:hAnsi="Lato" w:cs="Arial"/>
          <w:color w:val="auto"/>
          <w:sz w:val="20"/>
          <w:szCs w:val="20"/>
        </w:rPr>
        <w:t>Szczegółowe zasady obmiaru robót montażowych okien i drzwi Powierzchnię okien i drzwi  oblicza się w metrach kwadratowych w świetle ościeżnic, a w przypadku braku ościeżnic w świetle zakrywanych otworów.</w:t>
      </w:r>
    </w:p>
    <w:p w14:paraId="6342B9C0" w14:textId="2E7E20DD" w:rsidR="007F0A6F" w:rsidRPr="00C0396F" w:rsidRDefault="00B259FF" w:rsidP="00FB6E17">
      <w:pPr>
        <w:numPr>
          <w:ilvl w:val="0"/>
          <w:numId w:val="23"/>
        </w:numPr>
        <w:spacing w:after="0" w:line="248" w:lineRule="auto"/>
        <w:ind w:right="0" w:hanging="451"/>
        <w:rPr>
          <w:rFonts w:ascii="Lato" w:hAnsi="Lato" w:cs="Arial"/>
          <w:b/>
          <w:bCs/>
          <w:color w:val="auto"/>
          <w:sz w:val="20"/>
          <w:szCs w:val="20"/>
        </w:rPr>
      </w:pPr>
      <w:r w:rsidRPr="00C0396F">
        <w:rPr>
          <w:rFonts w:ascii="Lato" w:hAnsi="Lato" w:cs="Arial"/>
          <w:b/>
          <w:bCs/>
          <w:color w:val="auto"/>
          <w:sz w:val="20"/>
          <w:szCs w:val="20"/>
        </w:rPr>
        <w:t>SPOSÓB ODBIORU ROBÓT</w:t>
      </w:r>
    </w:p>
    <w:p w14:paraId="37BF96B4" w14:textId="77777777" w:rsidR="00136D95" w:rsidRPr="00C0396F" w:rsidRDefault="00136D95" w:rsidP="00136D95">
      <w:pPr>
        <w:spacing w:after="0" w:line="248" w:lineRule="auto"/>
        <w:ind w:left="451" w:right="0" w:firstLine="0"/>
        <w:rPr>
          <w:rFonts w:ascii="Lato" w:hAnsi="Lato" w:cs="Arial"/>
          <w:b/>
          <w:bCs/>
          <w:color w:val="auto"/>
          <w:sz w:val="20"/>
          <w:szCs w:val="20"/>
        </w:rPr>
      </w:pPr>
    </w:p>
    <w:p w14:paraId="11DCD857" w14:textId="77777777" w:rsidR="007F0A6F" w:rsidRPr="00C0396F" w:rsidRDefault="00B259FF" w:rsidP="00FB6E17">
      <w:pPr>
        <w:numPr>
          <w:ilvl w:val="1"/>
          <w:numId w:val="23"/>
        </w:numPr>
        <w:spacing w:after="0" w:line="248" w:lineRule="auto"/>
        <w:ind w:right="0" w:hanging="571"/>
        <w:rPr>
          <w:rFonts w:ascii="Lato" w:hAnsi="Lato" w:cs="Arial"/>
          <w:color w:val="auto"/>
          <w:sz w:val="20"/>
          <w:szCs w:val="20"/>
        </w:rPr>
      </w:pPr>
      <w:r w:rsidRPr="00C0396F">
        <w:rPr>
          <w:rFonts w:ascii="Lato" w:hAnsi="Lato" w:cs="Arial"/>
          <w:color w:val="auto"/>
          <w:sz w:val="20"/>
          <w:szCs w:val="20"/>
        </w:rPr>
        <w:t>Ogólne zasady odbioru robót podano w ST „Wymagania ogólne” Kod CPV</w:t>
      </w:r>
    </w:p>
    <w:p w14:paraId="6064300F" w14:textId="4C0537C1" w:rsidR="007F0A6F" w:rsidRPr="00C0396F" w:rsidRDefault="00B259FF" w:rsidP="00FB6E17">
      <w:pPr>
        <w:spacing w:after="0" w:line="248" w:lineRule="auto"/>
        <w:ind w:left="581" w:right="0"/>
        <w:rPr>
          <w:rFonts w:ascii="Lato" w:hAnsi="Lato" w:cs="Arial"/>
          <w:color w:val="auto"/>
          <w:sz w:val="20"/>
          <w:szCs w:val="20"/>
        </w:rPr>
      </w:pPr>
      <w:r w:rsidRPr="00C0396F">
        <w:rPr>
          <w:rFonts w:ascii="Lato" w:hAnsi="Lato" w:cs="Arial"/>
          <w:color w:val="auto"/>
          <w:sz w:val="20"/>
          <w:szCs w:val="20"/>
        </w:rPr>
        <w:t>45000000-7, pkt 8</w:t>
      </w:r>
    </w:p>
    <w:p w14:paraId="7F38C213" w14:textId="77777777" w:rsidR="00136D95" w:rsidRPr="00C0396F" w:rsidRDefault="00136D95" w:rsidP="00136D95">
      <w:pPr>
        <w:spacing w:after="0" w:line="248" w:lineRule="auto"/>
        <w:ind w:right="0"/>
        <w:rPr>
          <w:rFonts w:ascii="Lato" w:hAnsi="Lato" w:cs="Arial"/>
          <w:color w:val="auto"/>
          <w:sz w:val="20"/>
          <w:szCs w:val="20"/>
        </w:rPr>
      </w:pPr>
    </w:p>
    <w:p w14:paraId="7E94A0F6" w14:textId="77777777" w:rsidR="007F0A6F" w:rsidRPr="00C0396F" w:rsidRDefault="00B259FF" w:rsidP="00FB6E17">
      <w:pPr>
        <w:numPr>
          <w:ilvl w:val="1"/>
          <w:numId w:val="23"/>
        </w:numPr>
        <w:spacing w:after="0" w:line="248" w:lineRule="auto"/>
        <w:ind w:right="0" w:hanging="571"/>
        <w:rPr>
          <w:rFonts w:ascii="Lato" w:hAnsi="Lato" w:cs="Arial"/>
          <w:b/>
          <w:bCs/>
          <w:color w:val="auto"/>
          <w:sz w:val="20"/>
          <w:szCs w:val="20"/>
        </w:rPr>
      </w:pPr>
      <w:r w:rsidRPr="00C0396F">
        <w:rPr>
          <w:rFonts w:ascii="Lato" w:hAnsi="Lato" w:cs="Arial"/>
          <w:b/>
          <w:bCs/>
          <w:color w:val="auto"/>
          <w:sz w:val="20"/>
          <w:szCs w:val="20"/>
        </w:rPr>
        <w:t>Odbiór robót zanikających i ulegających zakryciu</w:t>
      </w:r>
    </w:p>
    <w:p w14:paraId="26F004B1" w14:textId="77777777" w:rsidR="007F0A6F" w:rsidRPr="00C0396F" w:rsidRDefault="00B259FF" w:rsidP="00FB6E17">
      <w:pPr>
        <w:spacing w:after="0"/>
        <w:ind w:left="-5" w:right="0"/>
        <w:rPr>
          <w:rFonts w:ascii="Lato" w:hAnsi="Lato" w:cs="Arial"/>
          <w:color w:val="auto"/>
          <w:sz w:val="20"/>
          <w:szCs w:val="20"/>
        </w:rPr>
      </w:pPr>
      <w:r w:rsidRPr="00C0396F">
        <w:rPr>
          <w:rFonts w:ascii="Lato" w:hAnsi="Lato" w:cs="Arial"/>
          <w:color w:val="auto"/>
          <w:sz w:val="20"/>
          <w:szCs w:val="20"/>
        </w:rPr>
        <w:t>Przy wbudowywaniu okien i/lub drzwi  elementami ulegającymi zakryciu są mocowanie ościeżnicy na całym obwodzie oraz izolacja termiczna i uszczelnienie (zewnętrzne, wewnętrzne) szczeliny między oknem a ościeżem. Odbiór tych prac musi być dokonany w trakcie montażu okien i drzwi.</w:t>
      </w:r>
    </w:p>
    <w:p w14:paraId="60F0AF93" w14:textId="77777777" w:rsidR="007F0A6F" w:rsidRPr="00C0396F" w:rsidRDefault="00B259FF" w:rsidP="00FB6E17">
      <w:pPr>
        <w:spacing w:after="0"/>
        <w:ind w:left="-15" w:right="0" w:firstLine="286"/>
        <w:rPr>
          <w:rFonts w:ascii="Lato" w:hAnsi="Lato" w:cs="Arial"/>
          <w:color w:val="auto"/>
          <w:sz w:val="20"/>
          <w:szCs w:val="20"/>
        </w:rPr>
      </w:pPr>
      <w:r w:rsidRPr="00C0396F">
        <w:rPr>
          <w:rFonts w:ascii="Lato" w:hAnsi="Lato" w:cs="Arial"/>
          <w:color w:val="auto"/>
          <w:sz w:val="20"/>
          <w:szCs w:val="20"/>
        </w:rPr>
        <w:t>W trakcie odbioru należy przeprowadzić badania wymienione w pkt. 6.3. niniejszej specyfikacji, a wyniki tych badań porównać z wymaganiami określonymi w pkt. 5.3. i 5.5. niniejszej specyfikacji.</w:t>
      </w:r>
    </w:p>
    <w:p w14:paraId="0C8C79DD" w14:textId="77777777" w:rsidR="007F0A6F" w:rsidRPr="00C0396F" w:rsidRDefault="00B259FF" w:rsidP="00FB6E17">
      <w:pPr>
        <w:spacing w:after="0"/>
        <w:ind w:left="-15" w:right="0" w:firstLine="286"/>
        <w:rPr>
          <w:rFonts w:ascii="Lato" w:hAnsi="Lato" w:cs="Arial"/>
          <w:color w:val="auto"/>
          <w:sz w:val="20"/>
          <w:szCs w:val="20"/>
        </w:rPr>
      </w:pPr>
      <w:r w:rsidRPr="00C0396F">
        <w:rPr>
          <w:rFonts w:ascii="Lato" w:hAnsi="Lato" w:cs="Arial"/>
          <w:color w:val="auto"/>
          <w:sz w:val="20"/>
          <w:szCs w:val="20"/>
        </w:rPr>
        <w:t>Jeżeli wszystkie pomiary i badania dały wynik pozytywny można uznać zamocowanie, uszczelnienie i izolację okna lub drzwi za wykonane prawidłowo, tj. zgodnie z dokumentacją projektową oraz specyfikacją techniczną (szczegółową) i zezwolić na przystąpienie do dalszych prac (obsadzenie parapetów zewnętrznych i wewnętrznych, otynkowanie ościeży, montaż listew maskujących).</w:t>
      </w:r>
    </w:p>
    <w:p w14:paraId="042BD680" w14:textId="77777777" w:rsidR="007F0A6F" w:rsidRPr="00C0396F" w:rsidRDefault="00B259FF" w:rsidP="00FB6E17">
      <w:pPr>
        <w:spacing w:after="0"/>
        <w:ind w:left="-15" w:right="0" w:firstLine="286"/>
        <w:rPr>
          <w:rFonts w:ascii="Lato" w:hAnsi="Lato" w:cs="Arial"/>
          <w:color w:val="auto"/>
          <w:sz w:val="20"/>
          <w:szCs w:val="20"/>
        </w:rPr>
      </w:pPr>
      <w:r w:rsidRPr="00C0396F">
        <w:rPr>
          <w:rFonts w:ascii="Lato" w:hAnsi="Lato" w:cs="Arial"/>
          <w:color w:val="auto"/>
          <w:sz w:val="20"/>
          <w:szCs w:val="20"/>
        </w:rPr>
        <w:t>Jeżeli chociaż jeden wynik badania jest negatywny prace ulegające zakryciu nie powinny być odebrane. W takim przypadku należy ustalić zakres prac i rodzaje materiałów koniecznych do usunięcia nieprawidłowości. Po wykonaniu ustalonego zakresu prac należy ponownie przeprowadzić badania.</w:t>
      </w:r>
    </w:p>
    <w:p w14:paraId="20D09D5B" w14:textId="39BEBE37" w:rsidR="007F0A6F" w:rsidRPr="00C0396F" w:rsidRDefault="00B259FF" w:rsidP="00FB6E17">
      <w:pPr>
        <w:spacing w:after="0"/>
        <w:ind w:left="-15" w:right="0" w:firstLine="286"/>
        <w:rPr>
          <w:rFonts w:ascii="Lato" w:hAnsi="Lato" w:cs="Arial"/>
          <w:color w:val="auto"/>
          <w:sz w:val="20"/>
          <w:szCs w:val="20"/>
        </w:rPr>
      </w:pPr>
      <w:r w:rsidRPr="00C0396F">
        <w:rPr>
          <w:rFonts w:ascii="Lato" w:hAnsi="Lato" w:cs="Arial"/>
          <w:color w:val="auto"/>
          <w:sz w:val="20"/>
          <w:szCs w:val="20"/>
        </w:rPr>
        <w:t>Wszystkie ustalenia związane z dokonanym odbiorem robót ulegających zakryciu należy zapisać w dzienniku budowy lub protokole podpisanym przez przedstawicieli inwestora (inspektor nadzoru) i wykonawcy (kierownik budowy).</w:t>
      </w:r>
    </w:p>
    <w:p w14:paraId="65940C5C" w14:textId="77777777" w:rsidR="00C959E3" w:rsidRPr="00C0396F" w:rsidRDefault="00C959E3" w:rsidP="00FB6E17">
      <w:pPr>
        <w:spacing w:after="0"/>
        <w:ind w:left="-15" w:right="0" w:firstLine="286"/>
        <w:rPr>
          <w:rFonts w:ascii="Lato" w:hAnsi="Lato" w:cs="Arial"/>
          <w:color w:val="auto"/>
          <w:sz w:val="20"/>
          <w:szCs w:val="20"/>
        </w:rPr>
      </w:pPr>
    </w:p>
    <w:p w14:paraId="500464E3" w14:textId="77777777" w:rsidR="00136D95" w:rsidRPr="00C0396F" w:rsidRDefault="00136D95" w:rsidP="00FB6E17">
      <w:pPr>
        <w:spacing w:after="0"/>
        <w:ind w:left="-15" w:right="0" w:firstLine="286"/>
        <w:rPr>
          <w:rFonts w:ascii="Lato" w:hAnsi="Lato" w:cs="Arial"/>
          <w:color w:val="auto"/>
          <w:sz w:val="20"/>
          <w:szCs w:val="20"/>
        </w:rPr>
      </w:pPr>
    </w:p>
    <w:p w14:paraId="7E317004" w14:textId="77777777" w:rsidR="007F0A6F" w:rsidRPr="00C0396F" w:rsidRDefault="00B259FF" w:rsidP="00FB6E17">
      <w:pPr>
        <w:numPr>
          <w:ilvl w:val="1"/>
          <w:numId w:val="23"/>
        </w:numPr>
        <w:spacing w:after="0" w:line="248" w:lineRule="auto"/>
        <w:ind w:right="0" w:hanging="571"/>
        <w:rPr>
          <w:rFonts w:ascii="Lato" w:hAnsi="Lato" w:cs="Arial"/>
          <w:b/>
          <w:bCs/>
          <w:color w:val="auto"/>
          <w:sz w:val="20"/>
          <w:szCs w:val="20"/>
        </w:rPr>
      </w:pPr>
      <w:r w:rsidRPr="00C0396F">
        <w:rPr>
          <w:rFonts w:ascii="Lato" w:hAnsi="Lato" w:cs="Arial"/>
          <w:b/>
          <w:bCs/>
          <w:color w:val="auto"/>
          <w:sz w:val="20"/>
          <w:szCs w:val="20"/>
        </w:rPr>
        <w:t>Odbiór częściowy</w:t>
      </w:r>
    </w:p>
    <w:p w14:paraId="49A33FFD" w14:textId="77777777" w:rsidR="007F0A6F" w:rsidRPr="00C0396F" w:rsidRDefault="00B259FF" w:rsidP="00FB6E17">
      <w:pPr>
        <w:spacing w:after="0"/>
        <w:ind w:left="-5" w:right="0"/>
        <w:rPr>
          <w:rFonts w:ascii="Lato" w:hAnsi="Lato" w:cs="Arial"/>
          <w:color w:val="auto"/>
          <w:sz w:val="20"/>
          <w:szCs w:val="20"/>
        </w:rPr>
      </w:pPr>
      <w:r w:rsidRPr="00C0396F">
        <w:rPr>
          <w:rFonts w:ascii="Lato" w:hAnsi="Lato" w:cs="Arial"/>
          <w:color w:val="auto"/>
          <w:sz w:val="20"/>
          <w:szCs w:val="20"/>
        </w:rPr>
        <w:t>Odbiór częściowy polega na ocenie ilości i jakości wykonanej części robót. Odbioru częściowego robót dokonuje się dla zakresu określonego w dokumentach umownych, według zasad jak przy odbiorze ostatecznym robót (pkt 8.4.).</w:t>
      </w:r>
    </w:p>
    <w:p w14:paraId="16DAB48A" w14:textId="77777777" w:rsidR="007F0A6F" w:rsidRPr="00C0396F" w:rsidRDefault="00B259FF" w:rsidP="00FB6E17">
      <w:pPr>
        <w:spacing w:after="0"/>
        <w:ind w:left="-15" w:right="0" w:firstLine="286"/>
        <w:rPr>
          <w:rFonts w:ascii="Lato" w:hAnsi="Lato" w:cs="Arial"/>
          <w:color w:val="auto"/>
          <w:sz w:val="20"/>
          <w:szCs w:val="20"/>
        </w:rPr>
      </w:pPr>
      <w:r w:rsidRPr="00C0396F">
        <w:rPr>
          <w:rFonts w:ascii="Lato" w:hAnsi="Lato" w:cs="Arial"/>
          <w:color w:val="auto"/>
          <w:sz w:val="20"/>
          <w:szCs w:val="20"/>
        </w:rPr>
        <w:t>Celem odbioru częściowego jest wczesne wykrycie ewentualnych usterek w realizowanych robotach i ich usunięcie przed odbiorem końcowym.</w:t>
      </w:r>
    </w:p>
    <w:p w14:paraId="5F4CCDA0" w14:textId="77777777" w:rsidR="007F0A6F" w:rsidRPr="00C0396F" w:rsidRDefault="00B259FF" w:rsidP="00FB6E17">
      <w:pPr>
        <w:spacing w:after="0"/>
        <w:ind w:left="-15" w:right="0" w:firstLine="286"/>
        <w:rPr>
          <w:rFonts w:ascii="Lato" w:hAnsi="Lato" w:cs="Arial"/>
          <w:color w:val="auto"/>
          <w:sz w:val="20"/>
          <w:szCs w:val="20"/>
        </w:rPr>
      </w:pPr>
      <w:r w:rsidRPr="00C0396F">
        <w:rPr>
          <w:rFonts w:ascii="Lato" w:hAnsi="Lato" w:cs="Arial"/>
          <w:color w:val="auto"/>
          <w:sz w:val="20"/>
          <w:szCs w:val="20"/>
        </w:rPr>
        <w:t>Odbiór częściowy robót jest dokonywany przez inspektora nadzoru w obecności kierownika budowy.</w:t>
      </w:r>
    </w:p>
    <w:p w14:paraId="20795582" w14:textId="539F3347" w:rsidR="007F0A6F" w:rsidRPr="00C0396F" w:rsidRDefault="00B259FF" w:rsidP="00FB6E17">
      <w:pPr>
        <w:spacing w:after="0"/>
        <w:ind w:left="-15" w:right="0" w:firstLine="286"/>
        <w:rPr>
          <w:rFonts w:ascii="Lato" w:hAnsi="Lato" w:cs="Arial"/>
          <w:color w:val="auto"/>
          <w:sz w:val="20"/>
          <w:szCs w:val="20"/>
        </w:rPr>
      </w:pPr>
      <w:r w:rsidRPr="00C0396F">
        <w:rPr>
          <w:rFonts w:ascii="Lato" w:hAnsi="Lato" w:cs="Arial"/>
          <w:color w:val="auto"/>
          <w:sz w:val="20"/>
          <w:szCs w:val="20"/>
        </w:rPr>
        <w:t>Protokół odbioru częściowego jest podstawą do dokonania częściowego rozliczenia robót jeżeli umowa taką formę przewiduje.</w:t>
      </w:r>
    </w:p>
    <w:p w14:paraId="1D7F0A54" w14:textId="77777777" w:rsidR="00136D95" w:rsidRPr="00C0396F" w:rsidRDefault="00136D95" w:rsidP="00FB6E17">
      <w:pPr>
        <w:spacing w:after="0"/>
        <w:ind w:left="-15" w:right="0" w:firstLine="286"/>
        <w:rPr>
          <w:rFonts w:ascii="Lato" w:hAnsi="Lato" w:cs="Arial"/>
          <w:color w:val="auto"/>
          <w:sz w:val="20"/>
          <w:szCs w:val="20"/>
        </w:rPr>
      </w:pPr>
    </w:p>
    <w:p w14:paraId="69D222A8" w14:textId="77777777" w:rsidR="007F0A6F" w:rsidRPr="00C0396F" w:rsidRDefault="00B259FF" w:rsidP="00FB6E17">
      <w:pPr>
        <w:numPr>
          <w:ilvl w:val="1"/>
          <w:numId w:val="23"/>
        </w:numPr>
        <w:spacing w:after="0" w:line="248" w:lineRule="auto"/>
        <w:ind w:right="0" w:hanging="571"/>
        <w:rPr>
          <w:rFonts w:ascii="Lato" w:hAnsi="Lato" w:cs="Arial"/>
          <w:b/>
          <w:bCs/>
          <w:color w:val="auto"/>
          <w:sz w:val="20"/>
          <w:szCs w:val="20"/>
        </w:rPr>
      </w:pPr>
      <w:r w:rsidRPr="00C0396F">
        <w:rPr>
          <w:rFonts w:ascii="Lato" w:hAnsi="Lato" w:cs="Arial"/>
          <w:b/>
          <w:bCs/>
          <w:color w:val="auto"/>
          <w:sz w:val="20"/>
          <w:szCs w:val="20"/>
        </w:rPr>
        <w:t>Odbiór ostateczny (końcowy)</w:t>
      </w:r>
    </w:p>
    <w:p w14:paraId="3D887D58" w14:textId="77777777" w:rsidR="007F0A6F" w:rsidRPr="00C0396F" w:rsidRDefault="00B259FF" w:rsidP="00136D95">
      <w:pPr>
        <w:numPr>
          <w:ilvl w:val="2"/>
          <w:numId w:val="23"/>
        </w:numPr>
        <w:spacing w:after="0" w:line="248" w:lineRule="auto"/>
        <w:ind w:left="709" w:right="0" w:hanging="712"/>
        <w:rPr>
          <w:rFonts w:ascii="Lato" w:hAnsi="Lato" w:cs="Arial"/>
          <w:color w:val="auto"/>
          <w:sz w:val="20"/>
          <w:szCs w:val="20"/>
        </w:rPr>
      </w:pPr>
      <w:r w:rsidRPr="00C0396F">
        <w:rPr>
          <w:rFonts w:ascii="Lato" w:hAnsi="Lato" w:cs="Arial"/>
          <w:color w:val="auto"/>
          <w:sz w:val="20"/>
          <w:szCs w:val="20"/>
        </w:rPr>
        <w:t>Zasady przeprowadzania odbioru końcowego</w:t>
      </w:r>
    </w:p>
    <w:p w14:paraId="383D6B8A" w14:textId="77777777" w:rsidR="007F0A6F" w:rsidRPr="00C0396F" w:rsidRDefault="00B259FF" w:rsidP="00FB6E17">
      <w:pPr>
        <w:spacing w:after="0"/>
        <w:ind w:left="-5" w:right="0"/>
        <w:rPr>
          <w:rFonts w:ascii="Lato" w:hAnsi="Lato" w:cs="Arial"/>
          <w:color w:val="auto"/>
          <w:sz w:val="20"/>
          <w:szCs w:val="20"/>
        </w:rPr>
      </w:pPr>
      <w:r w:rsidRPr="00C0396F">
        <w:rPr>
          <w:rFonts w:ascii="Lato" w:hAnsi="Lato" w:cs="Arial"/>
          <w:color w:val="auto"/>
          <w:sz w:val="20"/>
          <w:szCs w:val="20"/>
        </w:rPr>
        <w:t>Odbiór końcowy stanowi ostateczną ocenę rzeczywistego wykonania robót w odniesieniu do ich zakresu (ilości), jakości i zgodności z dokumentacją projektową oraz niniejszą specyfikacją techniczną.</w:t>
      </w:r>
    </w:p>
    <w:p w14:paraId="27536D6B" w14:textId="77777777" w:rsidR="007F0A6F" w:rsidRPr="00C0396F" w:rsidRDefault="00B259FF" w:rsidP="00FB6E17">
      <w:pPr>
        <w:spacing w:after="0"/>
        <w:ind w:left="-15" w:right="0" w:firstLine="286"/>
        <w:rPr>
          <w:rFonts w:ascii="Lato" w:hAnsi="Lato" w:cs="Arial"/>
          <w:color w:val="auto"/>
          <w:sz w:val="20"/>
          <w:szCs w:val="20"/>
        </w:rPr>
      </w:pPr>
      <w:r w:rsidRPr="00C0396F">
        <w:rPr>
          <w:rFonts w:ascii="Lato" w:hAnsi="Lato" w:cs="Arial"/>
          <w:color w:val="auto"/>
          <w:sz w:val="20"/>
          <w:szCs w:val="20"/>
        </w:rPr>
        <w:t>Odbiór ostateczny przeprowadza komisja powołana przez zamawiającego, na podstawie przedłożonych dokumentów, wyników badań oraz dokonanej oceny wizualnej. Zasady i terminy powoływania komisji oraz czas jej działania powinna określać umowa.</w:t>
      </w:r>
    </w:p>
    <w:p w14:paraId="46996502" w14:textId="77777777" w:rsidR="007F0A6F" w:rsidRPr="00C0396F" w:rsidRDefault="00B259FF" w:rsidP="00136D95">
      <w:pPr>
        <w:numPr>
          <w:ilvl w:val="2"/>
          <w:numId w:val="23"/>
        </w:numPr>
        <w:spacing w:after="0" w:line="248" w:lineRule="auto"/>
        <w:ind w:left="284" w:right="0" w:hanging="284"/>
        <w:rPr>
          <w:rFonts w:ascii="Lato" w:hAnsi="Lato" w:cs="Arial"/>
          <w:color w:val="auto"/>
          <w:sz w:val="20"/>
          <w:szCs w:val="20"/>
        </w:rPr>
      </w:pPr>
      <w:r w:rsidRPr="00C0396F">
        <w:rPr>
          <w:rFonts w:ascii="Lato" w:hAnsi="Lato" w:cs="Arial"/>
          <w:color w:val="auto"/>
          <w:sz w:val="20"/>
          <w:szCs w:val="20"/>
        </w:rPr>
        <w:t>Dokumenty do odbioru końcowego</w:t>
      </w:r>
    </w:p>
    <w:p w14:paraId="05C4CDFB" w14:textId="77777777" w:rsidR="007F0A6F" w:rsidRPr="00C0396F" w:rsidRDefault="00B259FF" w:rsidP="00FB6E17">
      <w:pPr>
        <w:spacing w:after="0"/>
        <w:ind w:left="-5" w:right="0"/>
        <w:rPr>
          <w:rFonts w:ascii="Lato" w:hAnsi="Lato" w:cs="Arial"/>
          <w:color w:val="auto"/>
          <w:sz w:val="20"/>
          <w:szCs w:val="20"/>
        </w:rPr>
      </w:pPr>
      <w:r w:rsidRPr="00C0396F">
        <w:rPr>
          <w:rFonts w:ascii="Lato" w:hAnsi="Lato" w:cs="Arial"/>
          <w:color w:val="auto"/>
          <w:sz w:val="20"/>
          <w:szCs w:val="20"/>
        </w:rPr>
        <w:t>Wykonawca robót obowiązany jest przedłożyć komisji następujące dokumenty:</w:t>
      </w:r>
    </w:p>
    <w:p w14:paraId="6A1EB7E6" w14:textId="77777777" w:rsidR="007F0A6F" w:rsidRPr="00C0396F" w:rsidRDefault="00B259FF" w:rsidP="00FB6E17">
      <w:pPr>
        <w:spacing w:after="0"/>
        <w:ind w:left="-5" w:right="0"/>
        <w:rPr>
          <w:rFonts w:ascii="Lato" w:hAnsi="Lato" w:cs="Arial"/>
          <w:color w:val="auto"/>
          <w:sz w:val="20"/>
          <w:szCs w:val="20"/>
        </w:rPr>
      </w:pPr>
      <w:r w:rsidRPr="00C0396F">
        <w:rPr>
          <w:rFonts w:ascii="Lato" w:hAnsi="Lato" w:cs="Arial"/>
          <w:color w:val="auto"/>
          <w:sz w:val="20"/>
          <w:szCs w:val="20"/>
        </w:rPr>
        <w:t>− dokumentację projektową z naniesionymi zmianami dokonanymi w toku wykonywania robót,</w:t>
      </w:r>
    </w:p>
    <w:p w14:paraId="3781E8B8" w14:textId="77777777" w:rsidR="007F0A6F" w:rsidRPr="00C0396F" w:rsidRDefault="00B259FF" w:rsidP="00FB6E17">
      <w:pPr>
        <w:spacing w:after="0"/>
        <w:ind w:left="271" w:right="0" w:hanging="286"/>
        <w:rPr>
          <w:rFonts w:ascii="Lato" w:hAnsi="Lato" w:cs="Arial"/>
          <w:color w:val="auto"/>
          <w:sz w:val="20"/>
          <w:szCs w:val="20"/>
        </w:rPr>
      </w:pPr>
      <w:r w:rsidRPr="00C0396F">
        <w:rPr>
          <w:rFonts w:ascii="Lato" w:hAnsi="Lato" w:cs="Arial"/>
          <w:color w:val="auto"/>
          <w:sz w:val="20"/>
          <w:szCs w:val="20"/>
        </w:rPr>
        <w:t>− Szczegółowe Specyfikacje Techniczne ze zmianami wprowadzonymi w trakcie wykonywania robót,</w:t>
      </w:r>
    </w:p>
    <w:p w14:paraId="0DC99F7B" w14:textId="77777777" w:rsidR="007F0A6F" w:rsidRPr="00C0396F" w:rsidRDefault="00B259FF" w:rsidP="00FB6E17">
      <w:pPr>
        <w:spacing w:after="0"/>
        <w:ind w:left="-5" w:right="0"/>
        <w:rPr>
          <w:rFonts w:ascii="Lato" w:hAnsi="Lato" w:cs="Arial"/>
          <w:color w:val="auto"/>
          <w:sz w:val="20"/>
          <w:szCs w:val="20"/>
        </w:rPr>
      </w:pPr>
      <w:r w:rsidRPr="00C0396F">
        <w:rPr>
          <w:rFonts w:ascii="Lato" w:hAnsi="Lato" w:cs="Arial"/>
          <w:color w:val="auto"/>
          <w:sz w:val="20"/>
          <w:szCs w:val="20"/>
        </w:rPr>
        <w:t>− dziennik budowy i książki obmiarów z zapisami dokonywanymi w toku prowadzonych robót,</w:t>
      </w:r>
    </w:p>
    <w:p w14:paraId="0AF7F3D9" w14:textId="77777777" w:rsidR="007F0A6F" w:rsidRPr="00C0396F" w:rsidRDefault="00B259FF" w:rsidP="00FB6E17">
      <w:pPr>
        <w:spacing w:after="0"/>
        <w:ind w:left="271" w:right="0" w:hanging="286"/>
        <w:rPr>
          <w:rFonts w:ascii="Lato" w:hAnsi="Lato" w:cs="Arial"/>
          <w:color w:val="auto"/>
          <w:sz w:val="20"/>
          <w:szCs w:val="20"/>
        </w:rPr>
      </w:pPr>
      <w:r w:rsidRPr="00C0396F">
        <w:rPr>
          <w:rFonts w:ascii="Lato" w:hAnsi="Lato" w:cs="Arial"/>
          <w:color w:val="auto"/>
          <w:sz w:val="20"/>
          <w:szCs w:val="20"/>
        </w:rPr>
        <w:t>− dokumenty świadczące o dopuszczeniu do obrotu i powszechnego zastosowania użytych materiałów i wyrobów budowlanych,</w:t>
      </w:r>
    </w:p>
    <w:p w14:paraId="65528E37" w14:textId="77777777" w:rsidR="007F0A6F" w:rsidRPr="00C0396F" w:rsidRDefault="00B259FF" w:rsidP="00FB6E17">
      <w:pPr>
        <w:spacing w:after="0"/>
        <w:ind w:left="-5" w:right="0"/>
        <w:rPr>
          <w:rFonts w:ascii="Lato" w:hAnsi="Lato" w:cs="Arial"/>
          <w:color w:val="auto"/>
          <w:sz w:val="20"/>
          <w:szCs w:val="20"/>
        </w:rPr>
      </w:pPr>
      <w:r w:rsidRPr="00C0396F">
        <w:rPr>
          <w:rFonts w:ascii="Lato" w:hAnsi="Lato" w:cs="Arial"/>
          <w:color w:val="auto"/>
          <w:sz w:val="20"/>
          <w:szCs w:val="20"/>
        </w:rPr>
        <w:t>− protokoły odbioru robót ulegających zakryciu,</w:t>
      </w:r>
    </w:p>
    <w:p w14:paraId="2B26D1A3" w14:textId="77777777" w:rsidR="007F0A6F" w:rsidRPr="00C0396F" w:rsidRDefault="00B259FF" w:rsidP="00FB6E17">
      <w:pPr>
        <w:spacing w:after="0"/>
        <w:ind w:left="-5" w:right="0"/>
        <w:rPr>
          <w:rFonts w:ascii="Lato" w:hAnsi="Lato" w:cs="Arial"/>
          <w:color w:val="auto"/>
          <w:sz w:val="20"/>
          <w:szCs w:val="20"/>
        </w:rPr>
      </w:pPr>
      <w:r w:rsidRPr="00C0396F">
        <w:rPr>
          <w:rFonts w:ascii="Lato" w:hAnsi="Lato" w:cs="Arial"/>
          <w:color w:val="auto"/>
          <w:sz w:val="20"/>
          <w:szCs w:val="20"/>
        </w:rPr>
        <w:t>− protokoły odbiorów częściowych,</w:t>
      </w:r>
    </w:p>
    <w:p w14:paraId="0B452526" w14:textId="77777777" w:rsidR="007F0A6F" w:rsidRPr="00C0396F" w:rsidRDefault="00B259FF" w:rsidP="00FB6E17">
      <w:pPr>
        <w:spacing w:after="0"/>
        <w:ind w:left="-5" w:right="0"/>
        <w:rPr>
          <w:rFonts w:ascii="Lato" w:hAnsi="Lato" w:cs="Arial"/>
          <w:color w:val="auto"/>
          <w:sz w:val="20"/>
          <w:szCs w:val="20"/>
        </w:rPr>
      </w:pPr>
      <w:r w:rsidRPr="00C0396F">
        <w:rPr>
          <w:rFonts w:ascii="Lato" w:hAnsi="Lato" w:cs="Arial"/>
          <w:color w:val="auto"/>
          <w:sz w:val="20"/>
          <w:szCs w:val="20"/>
        </w:rPr>
        <w:t>− karty techniczne lub instrukcje producentów odnoszące się do zastosowanych materiałów,</w:t>
      </w:r>
    </w:p>
    <w:p w14:paraId="76AEC87E" w14:textId="77777777" w:rsidR="007F0A6F" w:rsidRPr="00C0396F" w:rsidRDefault="00B259FF" w:rsidP="00FB6E17">
      <w:pPr>
        <w:spacing w:after="0"/>
        <w:ind w:left="271" w:right="0" w:hanging="286"/>
        <w:rPr>
          <w:rFonts w:ascii="Lato" w:hAnsi="Lato" w:cs="Arial"/>
          <w:color w:val="auto"/>
          <w:sz w:val="20"/>
          <w:szCs w:val="20"/>
        </w:rPr>
      </w:pPr>
      <w:r w:rsidRPr="00C0396F">
        <w:rPr>
          <w:rFonts w:ascii="Lato" w:hAnsi="Lato" w:cs="Arial"/>
          <w:color w:val="auto"/>
          <w:sz w:val="20"/>
          <w:szCs w:val="20"/>
        </w:rPr>
        <w:t>− wyniki ewentualnych badań laboratoryjnych i ekspertyz dokonanych na wniosek jednej ze stron umowy.</w:t>
      </w:r>
    </w:p>
    <w:p w14:paraId="2A4E71A0" w14:textId="77777777" w:rsidR="007F0A6F" w:rsidRPr="00C0396F" w:rsidRDefault="00B259FF" w:rsidP="00FB6E17">
      <w:pPr>
        <w:spacing w:after="0"/>
        <w:ind w:left="-15" w:right="0" w:firstLine="286"/>
        <w:rPr>
          <w:rFonts w:ascii="Lato" w:hAnsi="Lato" w:cs="Arial"/>
          <w:color w:val="auto"/>
          <w:sz w:val="20"/>
          <w:szCs w:val="20"/>
        </w:rPr>
      </w:pPr>
      <w:r w:rsidRPr="00C0396F">
        <w:rPr>
          <w:rFonts w:ascii="Lato" w:hAnsi="Lato" w:cs="Arial"/>
          <w:color w:val="auto"/>
          <w:sz w:val="20"/>
          <w:szCs w:val="20"/>
        </w:rPr>
        <w:t>W toku odbioru komisja obowiązana jest zapoznać się przedłożonymi dokumentami, przeprowadzić badania zgodnie z wytycznymi podanymi w pkt. 6.4 niniejszej ST, porównać je z wymaganiami podanymi w dokumentacji projektowej i w pkt. 5. niniejszej specyfikacji technicznej oraz dokonać oceny wizualnej.</w:t>
      </w:r>
    </w:p>
    <w:p w14:paraId="1E69D7AD" w14:textId="77777777" w:rsidR="007F0A6F" w:rsidRPr="00C0396F" w:rsidRDefault="00B259FF" w:rsidP="00FB6E17">
      <w:pPr>
        <w:spacing w:after="0"/>
        <w:ind w:left="-15" w:right="0" w:firstLine="286"/>
        <w:rPr>
          <w:rFonts w:ascii="Lato" w:hAnsi="Lato" w:cs="Arial"/>
          <w:color w:val="auto"/>
          <w:sz w:val="20"/>
          <w:szCs w:val="20"/>
        </w:rPr>
      </w:pPr>
      <w:r w:rsidRPr="00C0396F">
        <w:rPr>
          <w:rFonts w:ascii="Lato" w:hAnsi="Lato" w:cs="Arial"/>
          <w:color w:val="auto"/>
          <w:sz w:val="20"/>
          <w:szCs w:val="20"/>
        </w:rPr>
        <w:t>Montaż okien i/lub drzwi powinien być odebrany, jeżeli wszystkie wyniki badań są pozytywne, a dostarczone przez wykonawcę dokumenty są kompletne i prawidłowe pod względem merytorycznym.</w:t>
      </w:r>
    </w:p>
    <w:p w14:paraId="5D83C570" w14:textId="77777777" w:rsidR="007F0A6F" w:rsidRPr="00C0396F" w:rsidRDefault="00B259FF" w:rsidP="00FB6E17">
      <w:pPr>
        <w:spacing w:after="0"/>
        <w:ind w:left="-15" w:right="0" w:firstLine="286"/>
        <w:rPr>
          <w:rFonts w:ascii="Lato" w:hAnsi="Lato" w:cs="Arial"/>
          <w:color w:val="auto"/>
          <w:sz w:val="20"/>
          <w:szCs w:val="20"/>
        </w:rPr>
      </w:pPr>
      <w:r w:rsidRPr="00C0396F">
        <w:rPr>
          <w:rFonts w:ascii="Lato" w:hAnsi="Lato" w:cs="Arial"/>
          <w:color w:val="auto"/>
          <w:sz w:val="20"/>
          <w:szCs w:val="20"/>
        </w:rPr>
        <w:lastRenderedPageBreak/>
        <w:t>Jeżeli chociażby jeden wynik badań był negatywny okna i/lub drzwi nie powinny być przyjęte. W takim przypadku należy przyjąć jedno z następujących rozwiązań:</w:t>
      </w:r>
    </w:p>
    <w:p w14:paraId="233A3F5E" w14:textId="77777777" w:rsidR="007F0A6F" w:rsidRPr="00C0396F" w:rsidRDefault="00B259FF" w:rsidP="00FB6E17">
      <w:pPr>
        <w:spacing w:after="0"/>
        <w:ind w:left="271" w:right="0" w:hanging="286"/>
        <w:rPr>
          <w:rFonts w:ascii="Lato" w:hAnsi="Lato" w:cs="Arial"/>
          <w:color w:val="auto"/>
          <w:sz w:val="20"/>
          <w:szCs w:val="20"/>
        </w:rPr>
      </w:pPr>
      <w:r w:rsidRPr="00C0396F">
        <w:rPr>
          <w:rFonts w:ascii="Lato" w:hAnsi="Lato" w:cs="Arial"/>
          <w:color w:val="auto"/>
          <w:sz w:val="20"/>
          <w:szCs w:val="20"/>
        </w:rPr>
        <w:t>− jeżeli to możliwe należy ustalić zakres prac korygujących (np. wskazać na konieczność regulacji okuć), usunąć niezgodności robót montażowych z wymaganiami określonymi w dokumentacji projektowej i w pkt. 5. niniejszej specyfikacji technicznej oraz przedstawić okna i/lub drzwi  ponownie do odbioru,</w:t>
      </w:r>
    </w:p>
    <w:p w14:paraId="0C9DBF49" w14:textId="77777777" w:rsidR="007F0A6F" w:rsidRPr="00C0396F" w:rsidRDefault="00B259FF" w:rsidP="00FB6E17">
      <w:pPr>
        <w:spacing w:after="0"/>
        <w:ind w:left="271" w:right="0" w:hanging="286"/>
        <w:rPr>
          <w:rFonts w:ascii="Lato" w:hAnsi="Lato" w:cs="Arial"/>
          <w:color w:val="auto"/>
          <w:sz w:val="20"/>
          <w:szCs w:val="20"/>
        </w:rPr>
      </w:pPr>
      <w:r w:rsidRPr="00C0396F">
        <w:rPr>
          <w:rFonts w:ascii="Lato" w:hAnsi="Lato" w:cs="Arial"/>
          <w:color w:val="auto"/>
          <w:sz w:val="20"/>
          <w:szCs w:val="20"/>
        </w:rPr>
        <w:t>− jeżeli odchylenia od wymagań nie zagrażają bezpieczeństwu użytkownika oraz nie ograniczają funkcjonalności i trwałości okien i drzwi zamawiający może wyrazić zgodę na dokonanie odbioru końcowego z jednoczesnym obniżeniem wartości wynagrodzenia w stosunku do ustaleń umownych,</w:t>
      </w:r>
    </w:p>
    <w:p w14:paraId="1AC00799" w14:textId="77777777" w:rsidR="007F0A6F" w:rsidRPr="00C0396F" w:rsidRDefault="00B259FF" w:rsidP="00FB6E17">
      <w:pPr>
        <w:spacing w:after="0" w:line="224" w:lineRule="auto"/>
        <w:ind w:left="286" w:right="0" w:hanging="286"/>
        <w:jc w:val="left"/>
        <w:rPr>
          <w:rFonts w:ascii="Lato" w:hAnsi="Lato" w:cs="Arial"/>
          <w:color w:val="auto"/>
          <w:sz w:val="20"/>
          <w:szCs w:val="20"/>
        </w:rPr>
      </w:pPr>
      <w:r w:rsidRPr="00C0396F">
        <w:rPr>
          <w:rFonts w:ascii="Lato" w:hAnsi="Lato" w:cs="Arial"/>
          <w:color w:val="auto"/>
          <w:sz w:val="20"/>
          <w:szCs w:val="20"/>
        </w:rPr>
        <w:t>− w przypadku, gdy nie są możliwe podane wyżej rozwiązania wykonawca zobowiązany jest do demontażu wadliwie wbudowanych okien i/lub drzwi, zamontowania ich ponownie i powtórnego zgłoszenia do odbioru.</w:t>
      </w:r>
    </w:p>
    <w:p w14:paraId="53F03546" w14:textId="77777777" w:rsidR="007F0A6F" w:rsidRPr="00C0396F" w:rsidRDefault="00B259FF" w:rsidP="00FB6E17">
      <w:pPr>
        <w:spacing w:after="0"/>
        <w:ind w:left="-5" w:right="0"/>
        <w:rPr>
          <w:rFonts w:ascii="Lato" w:hAnsi="Lato" w:cs="Arial"/>
          <w:color w:val="auto"/>
          <w:sz w:val="20"/>
          <w:szCs w:val="20"/>
        </w:rPr>
      </w:pPr>
      <w:r w:rsidRPr="00C0396F">
        <w:rPr>
          <w:rFonts w:ascii="Lato" w:hAnsi="Lato" w:cs="Arial"/>
          <w:color w:val="auto"/>
          <w:sz w:val="20"/>
          <w:szCs w:val="20"/>
        </w:rPr>
        <w:t>W przypadku niekompletności dokumentów odbiór może być dokonany po ich uzupełnieniu.</w:t>
      </w:r>
    </w:p>
    <w:p w14:paraId="41389D37" w14:textId="77777777" w:rsidR="007F0A6F" w:rsidRPr="00C0396F" w:rsidRDefault="00B259FF" w:rsidP="00FB6E17">
      <w:pPr>
        <w:spacing w:after="0"/>
        <w:ind w:left="-15" w:right="0" w:firstLine="286"/>
        <w:rPr>
          <w:rFonts w:ascii="Lato" w:hAnsi="Lato" w:cs="Arial"/>
          <w:color w:val="auto"/>
          <w:sz w:val="20"/>
          <w:szCs w:val="20"/>
        </w:rPr>
      </w:pPr>
      <w:r w:rsidRPr="00C0396F">
        <w:rPr>
          <w:rFonts w:ascii="Lato" w:hAnsi="Lato" w:cs="Arial"/>
          <w:color w:val="auto"/>
          <w:sz w:val="20"/>
          <w:szCs w:val="20"/>
        </w:rPr>
        <w:t>Z czynności odbioru sporządza się protokół podpisany przez przedstawicieli zamawiającego i wykonawcy. Protokół powinien zawierać: − ustalenia podjęte w trakcie prac komisji,</w:t>
      </w:r>
    </w:p>
    <w:p w14:paraId="33F41834" w14:textId="77777777" w:rsidR="007F0A6F" w:rsidRPr="00C0396F" w:rsidRDefault="00B259FF" w:rsidP="00FB6E17">
      <w:pPr>
        <w:spacing w:after="0"/>
        <w:ind w:left="-5" w:right="0"/>
        <w:rPr>
          <w:rFonts w:ascii="Lato" w:hAnsi="Lato" w:cs="Arial"/>
          <w:color w:val="auto"/>
          <w:sz w:val="20"/>
          <w:szCs w:val="20"/>
        </w:rPr>
      </w:pPr>
      <w:r w:rsidRPr="00C0396F">
        <w:rPr>
          <w:rFonts w:ascii="Lato" w:hAnsi="Lato" w:cs="Arial"/>
          <w:color w:val="auto"/>
          <w:sz w:val="20"/>
          <w:szCs w:val="20"/>
        </w:rPr>
        <w:t>− ocenę wyników badań,</w:t>
      </w:r>
    </w:p>
    <w:p w14:paraId="365158D6" w14:textId="77777777" w:rsidR="007F0A6F" w:rsidRPr="00C0396F" w:rsidRDefault="00B259FF" w:rsidP="00FB6E17">
      <w:pPr>
        <w:spacing w:after="0"/>
        <w:ind w:left="-5" w:right="0"/>
        <w:rPr>
          <w:rFonts w:ascii="Lato" w:hAnsi="Lato" w:cs="Arial"/>
          <w:color w:val="auto"/>
          <w:sz w:val="20"/>
          <w:szCs w:val="20"/>
        </w:rPr>
      </w:pPr>
      <w:r w:rsidRPr="00C0396F">
        <w:rPr>
          <w:rFonts w:ascii="Lato" w:hAnsi="Lato" w:cs="Arial"/>
          <w:color w:val="auto"/>
          <w:sz w:val="20"/>
          <w:szCs w:val="20"/>
        </w:rPr>
        <w:t>− wykaz wad i usterek ze wskazaniem sposobu ich usunięcia,</w:t>
      </w:r>
    </w:p>
    <w:p w14:paraId="69C9CA54" w14:textId="77777777" w:rsidR="007F0A6F" w:rsidRPr="00C0396F" w:rsidRDefault="00B259FF" w:rsidP="00FB6E17">
      <w:pPr>
        <w:spacing w:after="0"/>
        <w:ind w:left="271" w:right="0" w:hanging="286"/>
        <w:rPr>
          <w:rFonts w:ascii="Lato" w:hAnsi="Lato" w:cs="Arial"/>
          <w:color w:val="auto"/>
          <w:sz w:val="20"/>
          <w:szCs w:val="20"/>
        </w:rPr>
      </w:pPr>
      <w:r w:rsidRPr="00C0396F">
        <w:rPr>
          <w:rFonts w:ascii="Lato" w:hAnsi="Lato" w:cs="Arial"/>
          <w:color w:val="auto"/>
          <w:sz w:val="20"/>
          <w:szCs w:val="20"/>
        </w:rPr>
        <w:t>− stwierdzenie zgodności lub niezgodności wykonania montażu okien i/lub drzwi z zamówieniem.</w:t>
      </w:r>
    </w:p>
    <w:p w14:paraId="7D63E861" w14:textId="3F5A4C32" w:rsidR="007F0A6F" w:rsidRPr="00C0396F" w:rsidRDefault="00B259FF" w:rsidP="00FB6E17">
      <w:pPr>
        <w:spacing w:after="0"/>
        <w:ind w:left="-15" w:right="0" w:firstLine="286"/>
        <w:rPr>
          <w:rFonts w:ascii="Lato" w:hAnsi="Lato" w:cs="Arial"/>
          <w:color w:val="auto"/>
          <w:sz w:val="20"/>
          <w:szCs w:val="20"/>
        </w:rPr>
      </w:pPr>
      <w:r w:rsidRPr="00C0396F">
        <w:rPr>
          <w:rFonts w:ascii="Lato" w:hAnsi="Lato" w:cs="Arial"/>
          <w:color w:val="auto"/>
          <w:sz w:val="20"/>
          <w:szCs w:val="20"/>
        </w:rPr>
        <w:t>Protokół odbioru końcowego jest podstawą do dokonania rozliczenia końcowego pomiędzy zamawiającym a wykonawcą.</w:t>
      </w:r>
    </w:p>
    <w:p w14:paraId="60FA17A0" w14:textId="77777777" w:rsidR="00136D95" w:rsidRPr="00C0396F" w:rsidRDefault="00136D95" w:rsidP="00FB6E17">
      <w:pPr>
        <w:spacing w:after="0"/>
        <w:ind w:left="-15" w:right="0" w:firstLine="286"/>
        <w:rPr>
          <w:rFonts w:ascii="Lato" w:hAnsi="Lato" w:cs="Arial"/>
          <w:color w:val="auto"/>
          <w:sz w:val="20"/>
          <w:szCs w:val="20"/>
        </w:rPr>
      </w:pPr>
    </w:p>
    <w:p w14:paraId="7CD6D8B5" w14:textId="4A724B05" w:rsidR="007F0A6F" w:rsidRPr="00C0396F" w:rsidRDefault="00B259FF" w:rsidP="00136D95">
      <w:pPr>
        <w:pStyle w:val="Akapitzlist"/>
        <w:numPr>
          <w:ilvl w:val="1"/>
          <w:numId w:val="23"/>
        </w:numPr>
        <w:tabs>
          <w:tab w:val="center" w:pos="1281"/>
        </w:tabs>
        <w:spacing w:after="0" w:line="248" w:lineRule="auto"/>
        <w:ind w:right="0" w:hanging="582"/>
        <w:jc w:val="left"/>
        <w:rPr>
          <w:rFonts w:ascii="Lato" w:hAnsi="Lato" w:cs="Arial"/>
          <w:b/>
          <w:bCs/>
          <w:color w:val="auto"/>
          <w:sz w:val="20"/>
          <w:szCs w:val="20"/>
        </w:rPr>
      </w:pPr>
      <w:r w:rsidRPr="00C0396F">
        <w:rPr>
          <w:rFonts w:ascii="Lato" w:hAnsi="Lato" w:cs="Arial"/>
          <w:b/>
          <w:bCs/>
          <w:color w:val="auto"/>
          <w:sz w:val="20"/>
          <w:szCs w:val="20"/>
        </w:rPr>
        <w:t>Odbiór po upływie okresu rękojmi i gwarancji</w:t>
      </w:r>
    </w:p>
    <w:p w14:paraId="5944812D" w14:textId="77777777" w:rsidR="007F0A6F" w:rsidRPr="00C0396F" w:rsidRDefault="00B259FF" w:rsidP="00FB6E17">
      <w:pPr>
        <w:spacing w:after="0"/>
        <w:ind w:left="-5" w:right="0"/>
        <w:rPr>
          <w:rFonts w:ascii="Lato" w:hAnsi="Lato" w:cs="Arial"/>
          <w:color w:val="auto"/>
          <w:sz w:val="20"/>
          <w:szCs w:val="20"/>
        </w:rPr>
      </w:pPr>
      <w:r w:rsidRPr="00C0396F">
        <w:rPr>
          <w:rFonts w:ascii="Lato" w:hAnsi="Lato" w:cs="Arial"/>
          <w:color w:val="auto"/>
          <w:sz w:val="20"/>
          <w:szCs w:val="20"/>
        </w:rPr>
        <w:t>Celem odbioru po okresie rękojmi i gwarancji jest ocena stanu okien i/lub drzwi po użytkowaniu w tym okresie oraz ocena wykonywanych w tym czasie ewentualnych robót poprawkowych, związanych z usuwaniem zgłoszonych wad.</w:t>
      </w:r>
    </w:p>
    <w:p w14:paraId="341C8B11" w14:textId="77777777" w:rsidR="007F0A6F" w:rsidRPr="00C0396F" w:rsidRDefault="00B259FF" w:rsidP="00FB6E17">
      <w:pPr>
        <w:spacing w:after="0"/>
        <w:ind w:left="-15" w:right="0" w:firstLine="286"/>
        <w:rPr>
          <w:rFonts w:ascii="Lato" w:hAnsi="Lato" w:cs="Arial"/>
          <w:color w:val="auto"/>
          <w:sz w:val="20"/>
          <w:szCs w:val="20"/>
        </w:rPr>
      </w:pPr>
      <w:r w:rsidRPr="00C0396F">
        <w:rPr>
          <w:rFonts w:ascii="Lato" w:hAnsi="Lato" w:cs="Arial"/>
          <w:color w:val="auto"/>
          <w:sz w:val="20"/>
          <w:szCs w:val="20"/>
        </w:rPr>
        <w:t>Odbiór po upływie okresu rękojmi i gwarancji jest dokonywany na podstawie oceny wizualnej oraz sprawdzenia prawidłowości otwierania i zamykania okien i/lub drzwi, z uwzględnieniem zasad opisanych w pkt. 8.4. „Odbiór ostateczny (końcowy)”.</w:t>
      </w:r>
    </w:p>
    <w:p w14:paraId="460FDE59" w14:textId="77777777" w:rsidR="007F0A6F" w:rsidRPr="00C0396F" w:rsidRDefault="00B259FF" w:rsidP="00FB6E17">
      <w:pPr>
        <w:spacing w:after="0"/>
        <w:ind w:left="-15" w:right="0" w:firstLine="286"/>
        <w:rPr>
          <w:rFonts w:ascii="Lato" w:hAnsi="Lato" w:cs="Arial"/>
          <w:color w:val="auto"/>
          <w:sz w:val="20"/>
          <w:szCs w:val="20"/>
        </w:rPr>
      </w:pPr>
      <w:r w:rsidRPr="00C0396F">
        <w:rPr>
          <w:rFonts w:ascii="Lato" w:hAnsi="Lato" w:cs="Arial"/>
          <w:color w:val="auto"/>
          <w:sz w:val="20"/>
          <w:szCs w:val="20"/>
        </w:rPr>
        <w:t>Pozytywny wynik odbioru pogwarancyjnego jest podstawą do zwrotu kaucji gwarancyjnej a negatywny do dokonania potrąceń wynikających z obniżonej jakości robót.</w:t>
      </w:r>
    </w:p>
    <w:p w14:paraId="69D1C7A2" w14:textId="745D7A34" w:rsidR="007F0A6F" w:rsidRPr="00C0396F" w:rsidRDefault="00B259FF" w:rsidP="00FB6E17">
      <w:pPr>
        <w:spacing w:after="0"/>
        <w:ind w:left="-15" w:right="0" w:firstLine="286"/>
        <w:rPr>
          <w:rFonts w:ascii="Lato" w:hAnsi="Lato" w:cs="Arial"/>
          <w:color w:val="auto"/>
          <w:sz w:val="20"/>
          <w:szCs w:val="20"/>
        </w:rPr>
      </w:pPr>
      <w:r w:rsidRPr="00C0396F">
        <w:rPr>
          <w:rFonts w:ascii="Lato" w:hAnsi="Lato" w:cs="Arial"/>
          <w:color w:val="auto"/>
          <w:sz w:val="20"/>
          <w:szCs w:val="20"/>
        </w:rPr>
        <w:t>Przed upływem okresu gwarancyjnego zamawiający powinien zgłosić wykonawcy wszystkie zauważone wady w zamontowanych oknach i/lub drzwiach.</w:t>
      </w:r>
    </w:p>
    <w:p w14:paraId="412621E3" w14:textId="77777777" w:rsidR="00136D95" w:rsidRPr="00C0396F" w:rsidRDefault="00136D95" w:rsidP="00FB6E17">
      <w:pPr>
        <w:spacing w:after="0"/>
        <w:ind w:left="-15" w:right="0" w:firstLine="286"/>
        <w:rPr>
          <w:rFonts w:ascii="Lato" w:hAnsi="Lato" w:cs="Arial"/>
          <w:color w:val="auto"/>
          <w:sz w:val="20"/>
          <w:szCs w:val="20"/>
        </w:rPr>
      </w:pPr>
    </w:p>
    <w:p w14:paraId="2FE480BF" w14:textId="0975C535" w:rsidR="007F0A6F" w:rsidRPr="00C0396F" w:rsidRDefault="00B259FF" w:rsidP="00FB6E17">
      <w:pPr>
        <w:numPr>
          <w:ilvl w:val="0"/>
          <w:numId w:val="24"/>
        </w:numPr>
        <w:spacing w:after="0" w:line="248" w:lineRule="auto"/>
        <w:ind w:right="0" w:hanging="451"/>
        <w:rPr>
          <w:rFonts w:ascii="Lato" w:hAnsi="Lato" w:cs="Arial"/>
          <w:b/>
          <w:bCs/>
          <w:color w:val="auto"/>
          <w:sz w:val="20"/>
          <w:szCs w:val="20"/>
        </w:rPr>
      </w:pPr>
      <w:r w:rsidRPr="00C0396F">
        <w:rPr>
          <w:rFonts w:ascii="Lato" w:hAnsi="Lato" w:cs="Arial"/>
          <w:b/>
          <w:bCs/>
          <w:color w:val="auto"/>
          <w:sz w:val="20"/>
          <w:szCs w:val="20"/>
        </w:rPr>
        <w:t>PODSTAWA ROZLICZENIA ROBÓT PODSTAWOWYCH, TYMCZASOWYCH  I PRAC TOWARZYSZĄCYCH</w:t>
      </w:r>
    </w:p>
    <w:p w14:paraId="061B2D31" w14:textId="77777777" w:rsidR="00136D95" w:rsidRPr="00C0396F" w:rsidRDefault="00136D95" w:rsidP="00136D95">
      <w:pPr>
        <w:spacing w:after="0" w:line="248" w:lineRule="auto"/>
        <w:ind w:left="451" w:right="0" w:firstLine="0"/>
        <w:rPr>
          <w:rFonts w:ascii="Lato" w:hAnsi="Lato" w:cs="Arial"/>
          <w:b/>
          <w:bCs/>
          <w:color w:val="auto"/>
          <w:sz w:val="20"/>
          <w:szCs w:val="20"/>
        </w:rPr>
      </w:pPr>
    </w:p>
    <w:p w14:paraId="6C2BF2A1" w14:textId="5BA16759" w:rsidR="007F0A6F" w:rsidRPr="00C0396F" w:rsidRDefault="00B259FF" w:rsidP="00FB6E17">
      <w:pPr>
        <w:numPr>
          <w:ilvl w:val="1"/>
          <w:numId w:val="24"/>
        </w:numPr>
        <w:spacing w:after="0" w:line="248" w:lineRule="auto"/>
        <w:ind w:right="0" w:hanging="571"/>
        <w:rPr>
          <w:rFonts w:ascii="Lato" w:hAnsi="Lato" w:cs="Arial"/>
          <w:color w:val="auto"/>
          <w:sz w:val="20"/>
          <w:szCs w:val="20"/>
        </w:rPr>
      </w:pPr>
      <w:r w:rsidRPr="00C0396F">
        <w:rPr>
          <w:rFonts w:ascii="Lato" w:hAnsi="Lato" w:cs="Arial"/>
          <w:color w:val="auto"/>
          <w:sz w:val="20"/>
          <w:szCs w:val="20"/>
        </w:rPr>
        <w:t>Ogólne ustalenia dotyczące podstawy rozliczenia robót podano w ST „Wymagania ogólne” Kod CPV 45000000-7,  pkt 9</w:t>
      </w:r>
    </w:p>
    <w:p w14:paraId="5A06A429" w14:textId="77777777" w:rsidR="00136D95" w:rsidRPr="00C0396F" w:rsidRDefault="00136D95" w:rsidP="00136D95">
      <w:pPr>
        <w:spacing w:after="0" w:line="248" w:lineRule="auto"/>
        <w:ind w:left="1291" w:right="0" w:firstLine="0"/>
        <w:rPr>
          <w:rFonts w:ascii="Lato" w:hAnsi="Lato" w:cs="Arial"/>
          <w:color w:val="auto"/>
          <w:sz w:val="20"/>
          <w:szCs w:val="20"/>
        </w:rPr>
      </w:pPr>
    </w:p>
    <w:p w14:paraId="6D08031F" w14:textId="77777777" w:rsidR="007F0A6F" w:rsidRPr="00C0396F" w:rsidRDefault="00B259FF" w:rsidP="00FB6E17">
      <w:pPr>
        <w:numPr>
          <w:ilvl w:val="1"/>
          <w:numId w:val="24"/>
        </w:numPr>
        <w:spacing w:after="0" w:line="248" w:lineRule="auto"/>
        <w:ind w:right="0" w:hanging="571"/>
        <w:rPr>
          <w:rFonts w:ascii="Lato" w:hAnsi="Lato" w:cs="Arial"/>
          <w:b/>
          <w:bCs/>
          <w:color w:val="auto"/>
          <w:sz w:val="20"/>
          <w:szCs w:val="20"/>
        </w:rPr>
      </w:pPr>
      <w:r w:rsidRPr="00C0396F">
        <w:rPr>
          <w:rFonts w:ascii="Lato" w:hAnsi="Lato" w:cs="Arial"/>
          <w:b/>
          <w:bCs/>
          <w:color w:val="auto"/>
          <w:sz w:val="20"/>
          <w:szCs w:val="20"/>
        </w:rPr>
        <w:t>Zasady rozliczenia i płatności</w:t>
      </w:r>
    </w:p>
    <w:p w14:paraId="676CA72F" w14:textId="77777777" w:rsidR="007F0A6F" w:rsidRPr="00C0396F" w:rsidRDefault="00B259FF" w:rsidP="00FB6E17">
      <w:pPr>
        <w:spacing w:after="0"/>
        <w:ind w:left="-5" w:right="0"/>
        <w:rPr>
          <w:rFonts w:ascii="Lato" w:hAnsi="Lato" w:cs="Arial"/>
          <w:color w:val="auto"/>
          <w:sz w:val="20"/>
          <w:szCs w:val="20"/>
        </w:rPr>
      </w:pPr>
      <w:r w:rsidRPr="00C0396F">
        <w:rPr>
          <w:rFonts w:ascii="Lato" w:hAnsi="Lato" w:cs="Arial"/>
          <w:color w:val="auto"/>
          <w:sz w:val="20"/>
          <w:szCs w:val="20"/>
        </w:rPr>
        <w:t>Rozliczenie montażu okien i/lub drzwi  może być dokonane jednorazowo po wykonaniu pełnego zakresu robót i ich końcowym odbiorze lub etapami określonymi w umowie, po dokonaniu odbiorów częściowych robót.</w:t>
      </w:r>
    </w:p>
    <w:p w14:paraId="4E5697B5" w14:textId="4BD4A923" w:rsidR="007F0A6F" w:rsidRPr="00C0396F" w:rsidRDefault="00B259FF" w:rsidP="00FB6E17">
      <w:pPr>
        <w:spacing w:after="0"/>
        <w:ind w:left="-15" w:right="0" w:firstLine="286"/>
        <w:rPr>
          <w:rFonts w:ascii="Lato" w:hAnsi="Lato" w:cs="Arial"/>
          <w:color w:val="auto"/>
          <w:sz w:val="20"/>
          <w:szCs w:val="20"/>
        </w:rPr>
      </w:pPr>
      <w:r w:rsidRPr="00C0396F">
        <w:rPr>
          <w:rFonts w:ascii="Lato" w:hAnsi="Lato" w:cs="Arial"/>
          <w:color w:val="auto"/>
          <w:sz w:val="20"/>
          <w:szCs w:val="20"/>
        </w:rPr>
        <w:t xml:space="preserve">Ostateczne rozliczenie umowy pomiędzy zamawiającym a wykonawcą następuje po dokonaniu odbioru pogwarancyjnego. </w:t>
      </w:r>
    </w:p>
    <w:p w14:paraId="3869814D" w14:textId="77777777" w:rsidR="00136D95" w:rsidRPr="00C0396F" w:rsidRDefault="00136D95" w:rsidP="00FB6E17">
      <w:pPr>
        <w:spacing w:after="0"/>
        <w:ind w:left="-15" w:right="0" w:firstLine="286"/>
        <w:rPr>
          <w:rFonts w:ascii="Lato" w:hAnsi="Lato" w:cs="Arial"/>
          <w:color w:val="auto"/>
          <w:sz w:val="20"/>
          <w:szCs w:val="20"/>
        </w:rPr>
      </w:pPr>
    </w:p>
    <w:p w14:paraId="6B06C83A" w14:textId="77777777" w:rsidR="007F0A6F" w:rsidRPr="00C0396F" w:rsidRDefault="00B259FF" w:rsidP="00FB6E17">
      <w:pPr>
        <w:numPr>
          <w:ilvl w:val="1"/>
          <w:numId w:val="24"/>
        </w:numPr>
        <w:spacing w:after="0" w:line="248" w:lineRule="auto"/>
        <w:ind w:right="0" w:hanging="571"/>
        <w:rPr>
          <w:rFonts w:ascii="Lato" w:hAnsi="Lato" w:cs="Arial"/>
          <w:b/>
          <w:bCs/>
          <w:color w:val="auto"/>
          <w:sz w:val="20"/>
          <w:szCs w:val="20"/>
        </w:rPr>
      </w:pPr>
      <w:r w:rsidRPr="00C0396F">
        <w:rPr>
          <w:rFonts w:ascii="Lato" w:hAnsi="Lato" w:cs="Arial"/>
          <w:b/>
          <w:bCs/>
          <w:color w:val="auto"/>
          <w:sz w:val="20"/>
          <w:szCs w:val="20"/>
        </w:rPr>
        <w:t xml:space="preserve">Podstawy rozliczenia oraz płatności wykonanego i odebranego zakresu montażu okien i/lub drzwi </w:t>
      </w:r>
    </w:p>
    <w:p w14:paraId="7E3C523A" w14:textId="77777777" w:rsidR="007F0A6F" w:rsidRPr="00C0396F" w:rsidRDefault="00B259FF" w:rsidP="00FB6E17">
      <w:pPr>
        <w:spacing w:after="0" w:line="248" w:lineRule="auto"/>
        <w:ind w:left="-5" w:right="0"/>
        <w:rPr>
          <w:rFonts w:ascii="Lato" w:hAnsi="Lato" w:cs="Arial"/>
          <w:color w:val="auto"/>
          <w:sz w:val="20"/>
          <w:szCs w:val="20"/>
        </w:rPr>
      </w:pPr>
      <w:r w:rsidRPr="00C0396F">
        <w:rPr>
          <w:rFonts w:ascii="Lato" w:hAnsi="Lato" w:cs="Arial"/>
          <w:color w:val="auto"/>
          <w:sz w:val="20"/>
          <w:szCs w:val="20"/>
        </w:rPr>
        <w:t>Podstawy rozliczenia montażu okien i/lub drzwi  stanowią określone w dokumentach umownych (ofercie) ceny jednostkowe i ilości wykonanych robót zaakceptowane przez zamawiającego.</w:t>
      </w:r>
    </w:p>
    <w:p w14:paraId="6B2B7055" w14:textId="77777777" w:rsidR="007F0A6F" w:rsidRPr="00C0396F" w:rsidRDefault="00B259FF" w:rsidP="00FB6E17">
      <w:pPr>
        <w:spacing w:after="0"/>
        <w:ind w:left="-5" w:right="0"/>
        <w:rPr>
          <w:rFonts w:ascii="Lato" w:hAnsi="Lato" w:cs="Arial"/>
          <w:color w:val="auto"/>
          <w:sz w:val="20"/>
          <w:szCs w:val="20"/>
        </w:rPr>
      </w:pPr>
      <w:r w:rsidRPr="00C0396F">
        <w:rPr>
          <w:rFonts w:ascii="Lato" w:hAnsi="Lato" w:cs="Arial"/>
          <w:color w:val="auto"/>
          <w:sz w:val="20"/>
          <w:szCs w:val="20"/>
        </w:rPr>
        <w:t>Ceny jednostkowe montażu okien i/lub drzwi  uwzględniają:</w:t>
      </w:r>
    </w:p>
    <w:p w14:paraId="7C81510E" w14:textId="77777777" w:rsidR="007F0A6F" w:rsidRPr="00C0396F" w:rsidRDefault="00B259FF" w:rsidP="00FB6E17">
      <w:pPr>
        <w:numPr>
          <w:ilvl w:val="0"/>
          <w:numId w:val="25"/>
        </w:numPr>
        <w:spacing w:after="0"/>
        <w:ind w:right="0" w:hanging="286"/>
        <w:rPr>
          <w:rFonts w:ascii="Lato" w:hAnsi="Lato" w:cs="Arial"/>
          <w:color w:val="auto"/>
          <w:sz w:val="20"/>
          <w:szCs w:val="20"/>
        </w:rPr>
      </w:pPr>
      <w:r w:rsidRPr="00C0396F">
        <w:rPr>
          <w:rFonts w:ascii="Lato" w:hAnsi="Lato" w:cs="Arial"/>
          <w:color w:val="auto"/>
          <w:sz w:val="20"/>
          <w:szCs w:val="20"/>
        </w:rPr>
        <w:t>przygotowanie stanowiska roboczego,</w:t>
      </w:r>
    </w:p>
    <w:p w14:paraId="080F80BF" w14:textId="77777777" w:rsidR="007F0A6F" w:rsidRPr="00C0396F" w:rsidRDefault="00B259FF" w:rsidP="00FB6E17">
      <w:pPr>
        <w:numPr>
          <w:ilvl w:val="0"/>
          <w:numId w:val="25"/>
        </w:numPr>
        <w:spacing w:after="0"/>
        <w:ind w:right="0" w:hanging="286"/>
        <w:rPr>
          <w:rFonts w:ascii="Lato" w:hAnsi="Lato" w:cs="Arial"/>
          <w:color w:val="auto"/>
          <w:sz w:val="20"/>
          <w:szCs w:val="20"/>
        </w:rPr>
      </w:pPr>
      <w:r w:rsidRPr="00C0396F">
        <w:rPr>
          <w:rFonts w:ascii="Lato" w:hAnsi="Lato" w:cs="Arial"/>
          <w:color w:val="auto"/>
          <w:sz w:val="20"/>
          <w:szCs w:val="20"/>
        </w:rPr>
        <w:t>dostarczenie do stanowiska roboczego materiałów, narzędzi i sprzętu,</w:t>
      </w:r>
    </w:p>
    <w:p w14:paraId="55CAE033" w14:textId="77777777" w:rsidR="007F0A6F" w:rsidRPr="00C0396F" w:rsidRDefault="00B259FF" w:rsidP="00FB6E17">
      <w:pPr>
        <w:numPr>
          <w:ilvl w:val="0"/>
          <w:numId w:val="25"/>
        </w:numPr>
        <w:spacing w:after="0"/>
        <w:ind w:right="0" w:hanging="286"/>
        <w:rPr>
          <w:rFonts w:ascii="Lato" w:hAnsi="Lato" w:cs="Arial"/>
          <w:color w:val="auto"/>
          <w:sz w:val="20"/>
          <w:szCs w:val="20"/>
        </w:rPr>
      </w:pPr>
      <w:r w:rsidRPr="00C0396F">
        <w:rPr>
          <w:rFonts w:ascii="Lato" w:hAnsi="Lato" w:cs="Arial"/>
          <w:color w:val="auto"/>
          <w:sz w:val="20"/>
          <w:szCs w:val="20"/>
        </w:rPr>
        <w:t>obsługę sprzętu,</w:t>
      </w:r>
    </w:p>
    <w:p w14:paraId="6307E2EF" w14:textId="619B0B3D" w:rsidR="007F0A6F" w:rsidRPr="00C0396F" w:rsidRDefault="00B259FF" w:rsidP="00FB6E17">
      <w:pPr>
        <w:numPr>
          <w:ilvl w:val="0"/>
          <w:numId w:val="25"/>
        </w:numPr>
        <w:spacing w:after="0"/>
        <w:ind w:right="0" w:hanging="286"/>
        <w:rPr>
          <w:rFonts w:ascii="Lato" w:hAnsi="Lato" w:cs="Arial"/>
          <w:color w:val="auto"/>
          <w:sz w:val="20"/>
          <w:szCs w:val="20"/>
        </w:rPr>
      </w:pPr>
      <w:r w:rsidRPr="00C0396F">
        <w:rPr>
          <w:rFonts w:ascii="Lato" w:hAnsi="Lato" w:cs="Arial"/>
          <w:color w:val="auto"/>
          <w:sz w:val="20"/>
          <w:szCs w:val="20"/>
        </w:rPr>
        <w:t>ustawienie i przestawienie drabin lub lekkich rusztowań przestawnych umożliwiających</w:t>
      </w:r>
      <w:r w:rsidR="003F4AD2" w:rsidRPr="00C0396F">
        <w:rPr>
          <w:rFonts w:ascii="Lato" w:hAnsi="Lato" w:cs="Arial"/>
          <w:color w:val="auto"/>
          <w:sz w:val="20"/>
          <w:szCs w:val="20"/>
        </w:rPr>
        <w:t xml:space="preserve"> </w:t>
      </w:r>
      <w:r w:rsidRPr="00C0396F">
        <w:rPr>
          <w:rFonts w:ascii="Lato" w:hAnsi="Lato" w:cs="Arial"/>
          <w:color w:val="auto"/>
          <w:sz w:val="20"/>
          <w:szCs w:val="20"/>
        </w:rPr>
        <w:t>wykonanie robót na wysokości do 4 m, od poziomu podłogi lub terenu,</w:t>
      </w:r>
    </w:p>
    <w:p w14:paraId="4099E5EF" w14:textId="140B0432" w:rsidR="007F0A6F" w:rsidRPr="00C0396F" w:rsidRDefault="00B259FF" w:rsidP="00FB6E17">
      <w:pPr>
        <w:numPr>
          <w:ilvl w:val="0"/>
          <w:numId w:val="25"/>
        </w:numPr>
        <w:spacing w:after="0"/>
        <w:ind w:right="0" w:hanging="286"/>
        <w:rPr>
          <w:rFonts w:ascii="Lato" w:hAnsi="Lato" w:cs="Arial"/>
          <w:color w:val="auto"/>
          <w:sz w:val="20"/>
          <w:szCs w:val="20"/>
        </w:rPr>
      </w:pPr>
      <w:r w:rsidRPr="00C0396F">
        <w:rPr>
          <w:rFonts w:ascii="Lato" w:hAnsi="Lato" w:cs="Arial"/>
          <w:color w:val="auto"/>
          <w:sz w:val="20"/>
          <w:szCs w:val="20"/>
        </w:rPr>
        <w:t>zabezpieczenie elementów wymagających zabezpieczenia przed zanieczyszczeniem i</w:t>
      </w:r>
      <w:r w:rsidR="003F4AD2" w:rsidRPr="00C0396F">
        <w:rPr>
          <w:rFonts w:ascii="Lato" w:hAnsi="Lato" w:cs="Arial"/>
          <w:color w:val="auto"/>
          <w:sz w:val="20"/>
          <w:szCs w:val="20"/>
        </w:rPr>
        <w:t xml:space="preserve"> </w:t>
      </w:r>
      <w:r w:rsidRPr="00C0396F">
        <w:rPr>
          <w:rFonts w:ascii="Lato" w:hAnsi="Lato" w:cs="Arial"/>
          <w:color w:val="auto"/>
          <w:sz w:val="20"/>
          <w:szCs w:val="20"/>
        </w:rPr>
        <w:t>uszkodzeniem,</w:t>
      </w:r>
    </w:p>
    <w:p w14:paraId="6B16C602" w14:textId="05ACAE43" w:rsidR="007F0A6F" w:rsidRPr="00C0396F" w:rsidRDefault="00B259FF" w:rsidP="00FB6E17">
      <w:pPr>
        <w:numPr>
          <w:ilvl w:val="0"/>
          <w:numId w:val="25"/>
        </w:numPr>
        <w:spacing w:after="0"/>
        <w:ind w:right="0" w:hanging="286"/>
        <w:rPr>
          <w:rFonts w:ascii="Lato" w:hAnsi="Lato" w:cs="Arial"/>
          <w:color w:val="auto"/>
          <w:sz w:val="20"/>
          <w:szCs w:val="20"/>
        </w:rPr>
      </w:pPr>
      <w:r w:rsidRPr="00C0396F">
        <w:rPr>
          <w:rFonts w:ascii="Lato" w:hAnsi="Lato" w:cs="Arial"/>
          <w:color w:val="auto"/>
          <w:sz w:val="20"/>
          <w:szCs w:val="20"/>
        </w:rPr>
        <w:t>ocenę i przygotowanie ościeży, zgodnie z wymaganiami dokumentacji projektowej i</w:t>
      </w:r>
      <w:r w:rsidR="003F4AD2" w:rsidRPr="00C0396F">
        <w:rPr>
          <w:rFonts w:ascii="Lato" w:hAnsi="Lato" w:cs="Arial"/>
          <w:color w:val="auto"/>
          <w:sz w:val="20"/>
          <w:szCs w:val="20"/>
        </w:rPr>
        <w:t xml:space="preserve"> </w:t>
      </w:r>
      <w:r w:rsidRPr="00C0396F">
        <w:rPr>
          <w:rFonts w:ascii="Lato" w:hAnsi="Lato" w:cs="Arial"/>
          <w:color w:val="auto"/>
          <w:sz w:val="20"/>
          <w:szCs w:val="20"/>
        </w:rPr>
        <w:t>szczegółowej specyfikacji technicznej,</w:t>
      </w:r>
    </w:p>
    <w:p w14:paraId="63B71FCE" w14:textId="4CA5E761" w:rsidR="007F0A6F" w:rsidRPr="00C0396F" w:rsidRDefault="00B259FF" w:rsidP="00FB6E17">
      <w:pPr>
        <w:numPr>
          <w:ilvl w:val="0"/>
          <w:numId w:val="25"/>
        </w:numPr>
        <w:spacing w:after="0"/>
        <w:ind w:right="0" w:hanging="286"/>
        <w:rPr>
          <w:rFonts w:ascii="Lato" w:hAnsi="Lato" w:cs="Arial"/>
          <w:color w:val="auto"/>
          <w:sz w:val="20"/>
          <w:szCs w:val="20"/>
        </w:rPr>
      </w:pPr>
      <w:r w:rsidRPr="00C0396F">
        <w:rPr>
          <w:rFonts w:ascii="Lato" w:hAnsi="Lato" w:cs="Arial"/>
          <w:color w:val="auto"/>
          <w:sz w:val="20"/>
          <w:szCs w:val="20"/>
        </w:rPr>
        <w:t>obsadzenie ościeżnic wraz z ich uszczelnieniem wewnętrznym, zewnętrznym oraz</w:t>
      </w:r>
      <w:r w:rsidR="003F4AD2" w:rsidRPr="00C0396F">
        <w:rPr>
          <w:rFonts w:ascii="Lato" w:hAnsi="Lato" w:cs="Arial"/>
          <w:color w:val="auto"/>
          <w:sz w:val="20"/>
          <w:szCs w:val="20"/>
        </w:rPr>
        <w:t xml:space="preserve"> </w:t>
      </w:r>
      <w:r w:rsidRPr="00C0396F">
        <w:rPr>
          <w:rFonts w:ascii="Lato" w:hAnsi="Lato" w:cs="Arial"/>
          <w:color w:val="auto"/>
          <w:sz w:val="20"/>
          <w:szCs w:val="20"/>
        </w:rPr>
        <w:t>wykonaniem izolacji termicznej i akustycznej połączenia z ościeżem,</w:t>
      </w:r>
    </w:p>
    <w:p w14:paraId="034BFD07" w14:textId="77777777" w:rsidR="007F0A6F" w:rsidRPr="00C0396F" w:rsidRDefault="00B259FF" w:rsidP="00FB6E17">
      <w:pPr>
        <w:numPr>
          <w:ilvl w:val="0"/>
          <w:numId w:val="25"/>
        </w:numPr>
        <w:spacing w:after="0"/>
        <w:ind w:right="0" w:hanging="286"/>
        <w:rPr>
          <w:rFonts w:ascii="Lato" w:hAnsi="Lato" w:cs="Arial"/>
          <w:color w:val="auto"/>
          <w:sz w:val="20"/>
          <w:szCs w:val="20"/>
        </w:rPr>
      </w:pPr>
      <w:r w:rsidRPr="00C0396F">
        <w:rPr>
          <w:rFonts w:ascii="Lato" w:hAnsi="Lato" w:cs="Arial"/>
          <w:color w:val="auto"/>
          <w:sz w:val="20"/>
          <w:szCs w:val="20"/>
        </w:rPr>
        <w:t>obsadzenie parapetów zewnętrznych i wewnętrznych,</w:t>
      </w:r>
    </w:p>
    <w:p w14:paraId="1536AB32" w14:textId="77777777" w:rsidR="007F0A6F" w:rsidRPr="00C0396F" w:rsidRDefault="00B259FF" w:rsidP="00FB6E17">
      <w:pPr>
        <w:numPr>
          <w:ilvl w:val="0"/>
          <w:numId w:val="25"/>
        </w:numPr>
        <w:spacing w:after="0"/>
        <w:ind w:right="0" w:hanging="286"/>
        <w:rPr>
          <w:rFonts w:ascii="Lato" w:hAnsi="Lato" w:cs="Arial"/>
          <w:color w:val="auto"/>
          <w:sz w:val="20"/>
          <w:szCs w:val="20"/>
        </w:rPr>
      </w:pPr>
      <w:r w:rsidRPr="00C0396F">
        <w:rPr>
          <w:rFonts w:ascii="Lato" w:hAnsi="Lato" w:cs="Arial"/>
          <w:color w:val="auto"/>
          <w:sz w:val="20"/>
          <w:szCs w:val="20"/>
        </w:rPr>
        <w:t>obrobienie progów drzwi,</w:t>
      </w:r>
    </w:p>
    <w:p w14:paraId="6D5252BD" w14:textId="77777777" w:rsidR="007F0A6F" w:rsidRPr="00C0396F" w:rsidRDefault="00B259FF" w:rsidP="00FB6E17">
      <w:pPr>
        <w:numPr>
          <w:ilvl w:val="0"/>
          <w:numId w:val="25"/>
        </w:numPr>
        <w:spacing w:after="0"/>
        <w:ind w:right="0" w:hanging="286"/>
        <w:rPr>
          <w:rFonts w:ascii="Lato" w:hAnsi="Lato" w:cs="Arial"/>
          <w:color w:val="auto"/>
          <w:sz w:val="20"/>
          <w:szCs w:val="20"/>
        </w:rPr>
      </w:pPr>
      <w:r w:rsidRPr="00C0396F">
        <w:rPr>
          <w:rFonts w:ascii="Lato" w:hAnsi="Lato" w:cs="Arial"/>
          <w:color w:val="auto"/>
          <w:sz w:val="20"/>
          <w:szCs w:val="20"/>
        </w:rPr>
        <w:lastRenderedPageBreak/>
        <w:t>regulację skrzydeł i okuć,</w:t>
      </w:r>
    </w:p>
    <w:p w14:paraId="0A3D08A3" w14:textId="77777777" w:rsidR="007F0A6F" w:rsidRPr="00C0396F" w:rsidRDefault="00B259FF" w:rsidP="00FB6E17">
      <w:pPr>
        <w:numPr>
          <w:ilvl w:val="0"/>
          <w:numId w:val="25"/>
        </w:numPr>
        <w:spacing w:after="0"/>
        <w:ind w:right="0" w:hanging="286"/>
        <w:rPr>
          <w:rFonts w:ascii="Lato" w:hAnsi="Lato" w:cs="Arial"/>
          <w:color w:val="auto"/>
          <w:sz w:val="20"/>
          <w:szCs w:val="20"/>
        </w:rPr>
      </w:pPr>
      <w:r w:rsidRPr="00C0396F">
        <w:rPr>
          <w:rFonts w:ascii="Lato" w:hAnsi="Lato" w:cs="Arial"/>
          <w:color w:val="auto"/>
          <w:sz w:val="20"/>
          <w:szCs w:val="20"/>
        </w:rPr>
        <w:t>obicie ćwierćwałkami lub listwami maskującymi bądź innymi materiałami wykończeniowymi,</w:t>
      </w:r>
    </w:p>
    <w:p w14:paraId="6280FEF3" w14:textId="77777777" w:rsidR="007F0A6F" w:rsidRPr="00C0396F" w:rsidRDefault="00B259FF" w:rsidP="00FB6E17">
      <w:pPr>
        <w:numPr>
          <w:ilvl w:val="0"/>
          <w:numId w:val="25"/>
        </w:numPr>
        <w:spacing w:after="0"/>
        <w:ind w:right="0" w:hanging="286"/>
        <w:rPr>
          <w:rFonts w:ascii="Lato" w:hAnsi="Lato" w:cs="Arial"/>
          <w:color w:val="auto"/>
          <w:sz w:val="20"/>
          <w:szCs w:val="20"/>
        </w:rPr>
      </w:pPr>
      <w:r w:rsidRPr="00C0396F">
        <w:rPr>
          <w:rFonts w:ascii="Lato" w:hAnsi="Lato" w:cs="Arial"/>
          <w:color w:val="auto"/>
          <w:sz w:val="20"/>
          <w:szCs w:val="20"/>
        </w:rPr>
        <w:t>usunięcie wad i usterek oraz naprawienie uszkodzeń powstałych w czasie wykonywania robót,</w:t>
      </w:r>
    </w:p>
    <w:p w14:paraId="09C190CA" w14:textId="77777777" w:rsidR="007F0A6F" w:rsidRPr="00C0396F" w:rsidRDefault="00B259FF" w:rsidP="00FB6E17">
      <w:pPr>
        <w:numPr>
          <w:ilvl w:val="0"/>
          <w:numId w:val="25"/>
        </w:numPr>
        <w:spacing w:after="0"/>
        <w:ind w:right="0" w:hanging="286"/>
        <w:rPr>
          <w:rFonts w:ascii="Lato" w:hAnsi="Lato" w:cs="Arial"/>
          <w:color w:val="auto"/>
          <w:sz w:val="20"/>
          <w:szCs w:val="20"/>
        </w:rPr>
      </w:pPr>
      <w:r w:rsidRPr="00C0396F">
        <w:rPr>
          <w:rFonts w:ascii="Lato" w:hAnsi="Lato" w:cs="Arial"/>
          <w:color w:val="auto"/>
          <w:sz w:val="20"/>
          <w:szCs w:val="20"/>
        </w:rPr>
        <w:t>oczyszczenie miejsca pracy z materiałów zabezpieczających,</w:t>
      </w:r>
    </w:p>
    <w:p w14:paraId="61DC470F" w14:textId="77777777" w:rsidR="007F0A6F" w:rsidRPr="00C0396F" w:rsidRDefault="00B259FF" w:rsidP="00FB6E17">
      <w:pPr>
        <w:numPr>
          <w:ilvl w:val="0"/>
          <w:numId w:val="25"/>
        </w:numPr>
        <w:spacing w:after="0"/>
        <w:ind w:right="0" w:hanging="286"/>
        <w:rPr>
          <w:rFonts w:ascii="Lato" w:hAnsi="Lato" w:cs="Arial"/>
          <w:color w:val="auto"/>
          <w:sz w:val="20"/>
          <w:szCs w:val="20"/>
        </w:rPr>
      </w:pPr>
      <w:r w:rsidRPr="00C0396F">
        <w:rPr>
          <w:rFonts w:ascii="Lato" w:hAnsi="Lato" w:cs="Arial"/>
          <w:color w:val="auto"/>
          <w:sz w:val="20"/>
          <w:szCs w:val="20"/>
        </w:rPr>
        <w:t>likwidację stanowiska roboczego,</w:t>
      </w:r>
    </w:p>
    <w:p w14:paraId="5A9EF4B2" w14:textId="77777777" w:rsidR="007F0A6F" w:rsidRPr="00C0396F" w:rsidRDefault="00B259FF" w:rsidP="00FB6E17">
      <w:pPr>
        <w:numPr>
          <w:ilvl w:val="0"/>
          <w:numId w:val="25"/>
        </w:numPr>
        <w:spacing w:after="0"/>
        <w:ind w:right="0" w:hanging="286"/>
        <w:rPr>
          <w:rFonts w:ascii="Lato" w:hAnsi="Lato" w:cs="Arial"/>
          <w:color w:val="auto"/>
          <w:sz w:val="20"/>
          <w:szCs w:val="20"/>
        </w:rPr>
      </w:pPr>
      <w:r w:rsidRPr="00C0396F">
        <w:rPr>
          <w:rFonts w:ascii="Lato" w:hAnsi="Lato" w:cs="Arial"/>
          <w:color w:val="auto"/>
          <w:sz w:val="20"/>
          <w:szCs w:val="20"/>
        </w:rPr>
        <w:t>utylizację opakowań i resztek materiałów zgodnie ze wskazaniami producentów,– koszty pośrednie, zysk kalkulacyjny i ryzyko.</w:t>
      </w:r>
    </w:p>
    <w:p w14:paraId="1F1E403C" w14:textId="2D65599E" w:rsidR="007F0A6F" w:rsidRPr="00C0396F" w:rsidRDefault="00B259FF" w:rsidP="00FB6E17">
      <w:pPr>
        <w:spacing w:after="0"/>
        <w:ind w:left="-5" w:right="0"/>
        <w:rPr>
          <w:rFonts w:ascii="Lato" w:hAnsi="Lato" w:cs="Arial"/>
          <w:color w:val="auto"/>
          <w:sz w:val="20"/>
          <w:szCs w:val="20"/>
        </w:rPr>
      </w:pPr>
      <w:r w:rsidRPr="00C0396F">
        <w:rPr>
          <w:rFonts w:ascii="Lato" w:hAnsi="Lato" w:cs="Arial"/>
          <w:color w:val="auto"/>
          <w:sz w:val="20"/>
          <w:szCs w:val="20"/>
        </w:rPr>
        <w:t>Ceny jednostkowe robót obejmują również koszty montażu, demontażu i pracy rusztowań niezbędnych do wykonania robót na wysokości powyżej 4 m od poziomu ustawienia rusztowań oraz koszty pomostów i barier zabezpieczających.</w:t>
      </w:r>
    </w:p>
    <w:p w14:paraId="242BC277" w14:textId="77777777" w:rsidR="00136D95" w:rsidRPr="00C0396F" w:rsidRDefault="00136D95" w:rsidP="00FB6E17">
      <w:pPr>
        <w:spacing w:after="0"/>
        <w:ind w:left="-5" w:right="0"/>
        <w:rPr>
          <w:rFonts w:ascii="Lato" w:hAnsi="Lato" w:cs="Arial"/>
          <w:color w:val="auto"/>
          <w:sz w:val="20"/>
          <w:szCs w:val="20"/>
        </w:rPr>
      </w:pPr>
    </w:p>
    <w:tbl>
      <w:tblPr>
        <w:tblStyle w:val="TableGrid"/>
        <w:tblW w:w="9214" w:type="dxa"/>
        <w:tblInd w:w="0" w:type="dxa"/>
        <w:tblLook w:val="04A0" w:firstRow="1" w:lastRow="0" w:firstColumn="1" w:lastColumn="0" w:noHBand="0" w:noVBand="1"/>
      </w:tblPr>
      <w:tblGrid>
        <w:gridCol w:w="3261"/>
        <w:gridCol w:w="5953"/>
      </w:tblGrid>
      <w:tr w:rsidR="00D00A58" w:rsidRPr="00C0396F" w14:paraId="55E2E206" w14:textId="77777777" w:rsidTr="00D52A61">
        <w:trPr>
          <w:trHeight w:val="619"/>
        </w:trPr>
        <w:tc>
          <w:tcPr>
            <w:tcW w:w="3261" w:type="dxa"/>
            <w:tcBorders>
              <w:top w:val="nil"/>
              <w:left w:val="nil"/>
              <w:right w:val="nil"/>
            </w:tcBorders>
          </w:tcPr>
          <w:p w14:paraId="66930307" w14:textId="77777777" w:rsidR="007F0A6F" w:rsidRPr="00C0396F" w:rsidRDefault="00B259FF">
            <w:pPr>
              <w:numPr>
                <w:ilvl w:val="0"/>
                <w:numId w:val="26"/>
              </w:numPr>
              <w:spacing w:after="0" w:line="259" w:lineRule="auto"/>
              <w:ind w:right="0" w:hanging="451"/>
              <w:jc w:val="left"/>
              <w:rPr>
                <w:rFonts w:ascii="Lato" w:hAnsi="Lato" w:cs="Arial"/>
                <w:b/>
                <w:bCs/>
                <w:color w:val="auto"/>
                <w:sz w:val="20"/>
                <w:szCs w:val="20"/>
              </w:rPr>
            </w:pPr>
            <w:r w:rsidRPr="00C0396F">
              <w:rPr>
                <w:rFonts w:ascii="Lato" w:hAnsi="Lato" w:cs="Arial"/>
                <w:b/>
                <w:bCs/>
                <w:color w:val="auto"/>
                <w:sz w:val="20"/>
                <w:szCs w:val="20"/>
              </w:rPr>
              <w:t>DOKUMENTY ODNIESIENIA</w:t>
            </w:r>
          </w:p>
          <w:p w14:paraId="30E81D74" w14:textId="77777777" w:rsidR="007F0A6F" w:rsidRPr="00C0396F" w:rsidRDefault="00B259FF">
            <w:pPr>
              <w:spacing w:after="0" w:line="259" w:lineRule="auto"/>
              <w:ind w:left="0" w:right="0" w:firstLine="0"/>
              <w:jc w:val="left"/>
              <w:rPr>
                <w:rFonts w:ascii="Lato" w:hAnsi="Lato" w:cs="Arial"/>
                <w:color w:val="auto"/>
                <w:sz w:val="20"/>
                <w:szCs w:val="20"/>
              </w:rPr>
            </w:pPr>
            <w:r w:rsidRPr="00C0396F">
              <w:rPr>
                <w:rFonts w:ascii="Lato" w:hAnsi="Lato" w:cs="Arial"/>
                <w:color w:val="auto"/>
                <w:sz w:val="20"/>
                <w:szCs w:val="20"/>
              </w:rPr>
              <w:t>10.1. Normy</w:t>
            </w:r>
          </w:p>
        </w:tc>
        <w:tc>
          <w:tcPr>
            <w:tcW w:w="5953" w:type="dxa"/>
            <w:tcBorders>
              <w:top w:val="nil"/>
              <w:left w:val="nil"/>
              <w:right w:val="nil"/>
            </w:tcBorders>
          </w:tcPr>
          <w:p w14:paraId="53BEB2EC" w14:textId="77777777" w:rsidR="007F0A6F" w:rsidRPr="00C0396F" w:rsidRDefault="007F0A6F">
            <w:pPr>
              <w:spacing w:after="160" w:line="259" w:lineRule="auto"/>
              <w:ind w:left="0" w:right="0" w:firstLine="0"/>
              <w:jc w:val="left"/>
              <w:rPr>
                <w:rFonts w:ascii="Lato" w:hAnsi="Lato"/>
                <w:color w:val="auto"/>
                <w:sz w:val="20"/>
                <w:szCs w:val="20"/>
              </w:rPr>
            </w:pPr>
          </w:p>
        </w:tc>
      </w:tr>
      <w:tr w:rsidR="00D00A58" w:rsidRPr="00C0396F" w14:paraId="27C95CC4" w14:textId="77777777" w:rsidTr="00D52A61">
        <w:trPr>
          <w:trHeight w:val="420"/>
        </w:trPr>
        <w:tc>
          <w:tcPr>
            <w:tcW w:w="3261" w:type="dxa"/>
          </w:tcPr>
          <w:p w14:paraId="7C05D54B" w14:textId="77777777" w:rsidR="007F0A6F" w:rsidRPr="00C0396F" w:rsidRDefault="00B259FF" w:rsidP="00D52A61">
            <w:pPr>
              <w:spacing w:after="0" w:line="259" w:lineRule="auto"/>
              <w:ind w:left="0" w:right="0" w:firstLine="0"/>
              <w:jc w:val="left"/>
              <w:rPr>
                <w:rFonts w:ascii="Lato" w:hAnsi="Lato" w:cs="Arial"/>
                <w:color w:val="auto"/>
                <w:sz w:val="20"/>
                <w:szCs w:val="20"/>
              </w:rPr>
            </w:pPr>
            <w:r w:rsidRPr="00C0396F">
              <w:rPr>
                <w:rFonts w:ascii="Lato" w:hAnsi="Lato" w:cs="Arial"/>
                <w:color w:val="auto"/>
                <w:sz w:val="20"/>
                <w:szCs w:val="20"/>
              </w:rPr>
              <w:t>1. PN-EN 107:2002</w:t>
            </w:r>
          </w:p>
        </w:tc>
        <w:tc>
          <w:tcPr>
            <w:tcW w:w="5953" w:type="dxa"/>
          </w:tcPr>
          <w:p w14:paraId="06D4ABA4" w14:textId="77777777" w:rsidR="007F0A6F" w:rsidRPr="00C0396F" w:rsidRDefault="00B259FF">
            <w:pPr>
              <w:spacing w:after="0" w:line="259" w:lineRule="auto"/>
              <w:ind w:left="0" w:right="0" w:firstLine="0"/>
              <w:rPr>
                <w:rFonts w:ascii="Lato" w:hAnsi="Lato" w:cs="Arial"/>
                <w:color w:val="auto"/>
                <w:sz w:val="20"/>
                <w:szCs w:val="20"/>
              </w:rPr>
            </w:pPr>
            <w:r w:rsidRPr="00C0396F">
              <w:rPr>
                <w:rFonts w:ascii="Lato" w:hAnsi="Lato" w:cs="Arial"/>
                <w:color w:val="auto"/>
                <w:sz w:val="20"/>
                <w:szCs w:val="20"/>
              </w:rPr>
              <w:t>Metody badań okien – Badania mechaniczne (oryg.).</w:t>
            </w:r>
          </w:p>
        </w:tc>
      </w:tr>
      <w:tr w:rsidR="00D00A58" w:rsidRPr="00C0396F" w14:paraId="6203B975" w14:textId="77777777" w:rsidTr="00D52A61">
        <w:trPr>
          <w:trHeight w:val="554"/>
        </w:trPr>
        <w:tc>
          <w:tcPr>
            <w:tcW w:w="3261" w:type="dxa"/>
          </w:tcPr>
          <w:p w14:paraId="72F888CB" w14:textId="77777777" w:rsidR="007F0A6F" w:rsidRPr="00C0396F" w:rsidRDefault="00B259FF" w:rsidP="00D52A61">
            <w:pPr>
              <w:spacing w:after="0" w:line="259" w:lineRule="auto"/>
              <w:ind w:left="0" w:right="0" w:firstLine="0"/>
              <w:jc w:val="left"/>
              <w:rPr>
                <w:rFonts w:ascii="Lato" w:hAnsi="Lato" w:cs="Arial"/>
                <w:color w:val="auto"/>
                <w:sz w:val="20"/>
                <w:szCs w:val="20"/>
                <w:lang w:val="en-US"/>
              </w:rPr>
            </w:pPr>
            <w:r w:rsidRPr="00C0396F">
              <w:rPr>
                <w:rFonts w:ascii="Lato" w:hAnsi="Lato" w:cs="Arial"/>
                <w:color w:val="auto"/>
                <w:sz w:val="20"/>
                <w:szCs w:val="20"/>
                <w:lang w:val="en-US"/>
              </w:rPr>
              <w:t xml:space="preserve">2. PN-EN 410:2001 </w:t>
            </w:r>
          </w:p>
          <w:p w14:paraId="43A4B96D" w14:textId="77777777" w:rsidR="007F0A6F" w:rsidRPr="00C0396F" w:rsidRDefault="00B259FF">
            <w:pPr>
              <w:spacing w:after="0" w:line="259" w:lineRule="auto"/>
              <w:ind w:left="682" w:right="0" w:firstLine="0"/>
              <w:jc w:val="left"/>
              <w:rPr>
                <w:rFonts w:ascii="Lato" w:hAnsi="Lato" w:cs="Arial"/>
                <w:color w:val="auto"/>
                <w:sz w:val="20"/>
                <w:szCs w:val="20"/>
                <w:lang w:val="en-US"/>
              </w:rPr>
            </w:pPr>
            <w:r w:rsidRPr="00C0396F">
              <w:rPr>
                <w:rFonts w:ascii="Lato" w:hAnsi="Lato" w:cs="Arial"/>
                <w:color w:val="auto"/>
                <w:sz w:val="20"/>
                <w:szCs w:val="20"/>
                <w:lang w:val="en-US"/>
              </w:rPr>
              <w:t xml:space="preserve">PN-EN 410:2001/Ap1:2003 </w:t>
            </w:r>
          </w:p>
          <w:p w14:paraId="216A50CF" w14:textId="77777777" w:rsidR="007F0A6F" w:rsidRPr="00C0396F" w:rsidRDefault="00B259FF">
            <w:pPr>
              <w:spacing w:after="0" w:line="259" w:lineRule="auto"/>
              <w:ind w:left="682" w:right="0" w:firstLine="0"/>
              <w:jc w:val="left"/>
              <w:rPr>
                <w:rFonts w:ascii="Lato" w:hAnsi="Lato" w:cs="Arial"/>
                <w:color w:val="auto"/>
                <w:sz w:val="20"/>
                <w:szCs w:val="20"/>
              </w:rPr>
            </w:pPr>
            <w:r w:rsidRPr="00C0396F">
              <w:rPr>
                <w:rFonts w:ascii="Lato" w:hAnsi="Lato" w:cs="Arial"/>
                <w:color w:val="auto"/>
                <w:sz w:val="20"/>
                <w:szCs w:val="20"/>
              </w:rPr>
              <w:t>PN-EN 410:2001/Ap2:2003</w:t>
            </w:r>
          </w:p>
        </w:tc>
        <w:tc>
          <w:tcPr>
            <w:tcW w:w="5953" w:type="dxa"/>
          </w:tcPr>
          <w:p w14:paraId="06AAD03F" w14:textId="77777777" w:rsidR="007F0A6F" w:rsidRPr="00C0396F" w:rsidRDefault="00B259FF">
            <w:pPr>
              <w:spacing w:after="0" w:line="259" w:lineRule="auto"/>
              <w:ind w:left="0" w:right="0" w:firstLine="0"/>
              <w:rPr>
                <w:rFonts w:ascii="Lato" w:hAnsi="Lato" w:cs="Arial"/>
                <w:color w:val="auto"/>
                <w:sz w:val="20"/>
                <w:szCs w:val="20"/>
              </w:rPr>
            </w:pPr>
            <w:r w:rsidRPr="00C0396F">
              <w:rPr>
                <w:rFonts w:ascii="Lato" w:hAnsi="Lato" w:cs="Arial"/>
                <w:color w:val="auto"/>
                <w:sz w:val="20"/>
                <w:szCs w:val="20"/>
              </w:rPr>
              <w:t>Szkło w budownictwie – Określenie świetlnych i słonecznych właściwości oszklenia.</w:t>
            </w:r>
          </w:p>
        </w:tc>
      </w:tr>
      <w:tr w:rsidR="00D00A58" w:rsidRPr="00C0396F" w14:paraId="57C52EB7" w14:textId="77777777" w:rsidTr="00D52A61">
        <w:trPr>
          <w:trHeight w:val="661"/>
        </w:trPr>
        <w:tc>
          <w:tcPr>
            <w:tcW w:w="3261" w:type="dxa"/>
          </w:tcPr>
          <w:p w14:paraId="43EE9CAA" w14:textId="77777777" w:rsidR="007F0A6F" w:rsidRPr="00C0396F" w:rsidRDefault="00B259FF" w:rsidP="00D52A61">
            <w:pPr>
              <w:spacing w:after="0" w:line="259" w:lineRule="auto"/>
              <w:ind w:left="0" w:right="0" w:firstLine="0"/>
              <w:jc w:val="left"/>
              <w:rPr>
                <w:rFonts w:ascii="Lato" w:hAnsi="Lato" w:cs="Arial"/>
                <w:color w:val="auto"/>
                <w:sz w:val="20"/>
                <w:szCs w:val="20"/>
                <w:lang w:val="en-US"/>
              </w:rPr>
            </w:pPr>
            <w:r w:rsidRPr="00C0396F">
              <w:rPr>
                <w:rFonts w:ascii="Lato" w:hAnsi="Lato" w:cs="Arial"/>
                <w:color w:val="auto"/>
                <w:sz w:val="20"/>
                <w:szCs w:val="20"/>
                <w:lang w:val="en-US"/>
              </w:rPr>
              <w:t xml:space="preserve">3. PN-EN ISO 717-1:1999 </w:t>
            </w:r>
          </w:p>
          <w:p w14:paraId="33FCF376" w14:textId="77777777" w:rsidR="007F0A6F" w:rsidRPr="00C0396F" w:rsidRDefault="00B259FF">
            <w:pPr>
              <w:spacing w:after="0" w:line="259" w:lineRule="auto"/>
              <w:ind w:left="7" w:right="0" w:firstLine="0"/>
              <w:jc w:val="center"/>
              <w:rPr>
                <w:rFonts w:ascii="Lato" w:hAnsi="Lato" w:cs="Arial"/>
                <w:color w:val="auto"/>
                <w:sz w:val="20"/>
                <w:szCs w:val="20"/>
                <w:lang w:val="en-US"/>
              </w:rPr>
            </w:pPr>
            <w:r w:rsidRPr="00C0396F">
              <w:rPr>
                <w:rFonts w:ascii="Lato" w:hAnsi="Lato" w:cs="Arial"/>
                <w:color w:val="auto"/>
                <w:sz w:val="20"/>
                <w:szCs w:val="20"/>
                <w:lang w:val="en-US"/>
              </w:rPr>
              <w:t>PN-EN ISO 717-1:1999/A1:2008</w:t>
            </w:r>
          </w:p>
        </w:tc>
        <w:tc>
          <w:tcPr>
            <w:tcW w:w="5953" w:type="dxa"/>
          </w:tcPr>
          <w:p w14:paraId="0A14B735" w14:textId="77777777" w:rsidR="007F0A6F" w:rsidRPr="00C0396F" w:rsidRDefault="00B259FF">
            <w:pPr>
              <w:spacing w:after="0" w:line="259" w:lineRule="auto"/>
              <w:ind w:left="0" w:right="0" w:firstLine="0"/>
              <w:rPr>
                <w:rFonts w:ascii="Lato" w:hAnsi="Lato" w:cs="Arial"/>
                <w:color w:val="auto"/>
                <w:sz w:val="20"/>
                <w:szCs w:val="20"/>
              </w:rPr>
            </w:pPr>
            <w:r w:rsidRPr="00C0396F">
              <w:rPr>
                <w:rFonts w:ascii="Lato" w:hAnsi="Lato" w:cs="Arial"/>
                <w:color w:val="auto"/>
                <w:sz w:val="20"/>
                <w:szCs w:val="20"/>
              </w:rPr>
              <w:t>Akustyka – Ocena izolacyjności akustycznej   w budynkach i izolacyjności akustycznej elementów budowlanych – Izolacyjność od dźwięków powietrznych.</w:t>
            </w:r>
          </w:p>
        </w:tc>
      </w:tr>
      <w:tr w:rsidR="00D00A58" w:rsidRPr="00C0396F" w14:paraId="0C909ACF" w14:textId="77777777" w:rsidTr="00D52A61">
        <w:trPr>
          <w:trHeight w:val="402"/>
        </w:trPr>
        <w:tc>
          <w:tcPr>
            <w:tcW w:w="3261" w:type="dxa"/>
          </w:tcPr>
          <w:p w14:paraId="429E00BE" w14:textId="77777777" w:rsidR="007F0A6F" w:rsidRPr="00C0396F" w:rsidRDefault="00B259FF" w:rsidP="00D52A61">
            <w:pPr>
              <w:spacing w:after="0" w:line="259" w:lineRule="auto"/>
              <w:ind w:left="451" w:right="0" w:hanging="451"/>
              <w:jc w:val="left"/>
              <w:rPr>
                <w:rFonts w:ascii="Lato" w:hAnsi="Lato" w:cs="Arial"/>
                <w:color w:val="auto"/>
                <w:sz w:val="20"/>
                <w:szCs w:val="20"/>
              </w:rPr>
            </w:pPr>
            <w:r w:rsidRPr="00C0396F">
              <w:rPr>
                <w:rFonts w:ascii="Lato" w:hAnsi="Lato" w:cs="Arial"/>
                <w:color w:val="auto"/>
                <w:sz w:val="20"/>
                <w:szCs w:val="20"/>
              </w:rPr>
              <w:t>4. PN-EN 1026:2001</w:t>
            </w:r>
          </w:p>
        </w:tc>
        <w:tc>
          <w:tcPr>
            <w:tcW w:w="5953" w:type="dxa"/>
          </w:tcPr>
          <w:p w14:paraId="428F3FD5" w14:textId="77777777" w:rsidR="007F0A6F" w:rsidRPr="00C0396F" w:rsidRDefault="00B259FF">
            <w:pPr>
              <w:spacing w:after="0" w:line="259" w:lineRule="auto"/>
              <w:ind w:left="0" w:right="0" w:firstLine="0"/>
              <w:rPr>
                <w:rFonts w:ascii="Lato" w:hAnsi="Lato" w:cs="Arial"/>
                <w:color w:val="auto"/>
                <w:sz w:val="20"/>
                <w:szCs w:val="20"/>
              </w:rPr>
            </w:pPr>
            <w:r w:rsidRPr="00C0396F">
              <w:rPr>
                <w:rFonts w:ascii="Lato" w:hAnsi="Lato" w:cs="Arial"/>
                <w:color w:val="auto"/>
                <w:sz w:val="20"/>
                <w:szCs w:val="20"/>
              </w:rPr>
              <w:t>Okna i drzwi – Przepuszczalność powietrza  – Metoda badania.</w:t>
            </w:r>
          </w:p>
        </w:tc>
      </w:tr>
      <w:tr w:rsidR="00D00A58" w:rsidRPr="00C0396F" w14:paraId="10383067" w14:textId="77777777" w:rsidTr="00D52A61">
        <w:trPr>
          <w:trHeight w:val="266"/>
        </w:trPr>
        <w:tc>
          <w:tcPr>
            <w:tcW w:w="3261" w:type="dxa"/>
          </w:tcPr>
          <w:p w14:paraId="228FB52B" w14:textId="77777777" w:rsidR="007F0A6F" w:rsidRPr="00C0396F" w:rsidRDefault="00B259FF" w:rsidP="00D52A61">
            <w:pPr>
              <w:spacing w:after="0" w:line="259" w:lineRule="auto"/>
              <w:ind w:left="451" w:right="0" w:hanging="451"/>
              <w:jc w:val="left"/>
              <w:rPr>
                <w:rFonts w:ascii="Lato" w:hAnsi="Lato" w:cs="Arial"/>
                <w:color w:val="auto"/>
                <w:sz w:val="20"/>
                <w:szCs w:val="20"/>
              </w:rPr>
            </w:pPr>
            <w:r w:rsidRPr="00C0396F">
              <w:rPr>
                <w:rFonts w:ascii="Lato" w:hAnsi="Lato" w:cs="Arial"/>
                <w:color w:val="auto"/>
                <w:sz w:val="20"/>
                <w:szCs w:val="20"/>
              </w:rPr>
              <w:t>5. PN-EN 1027:2001</w:t>
            </w:r>
          </w:p>
        </w:tc>
        <w:tc>
          <w:tcPr>
            <w:tcW w:w="5953" w:type="dxa"/>
          </w:tcPr>
          <w:p w14:paraId="7E25EE69" w14:textId="77777777" w:rsidR="007F0A6F" w:rsidRPr="00C0396F" w:rsidRDefault="00B259FF">
            <w:pPr>
              <w:spacing w:after="0" w:line="259" w:lineRule="auto"/>
              <w:ind w:left="0" w:right="0" w:firstLine="0"/>
              <w:jc w:val="left"/>
              <w:rPr>
                <w:rFonts w:ascii="Lato" w:hAnsi="Lato" w:cs="Arial"/>
                <w:color w:val="auto"/>
                <w:sz w:val="20"/>
                <w:szCs w:val="20"/>
              </w:rPr>
            </w:pPr>
            <w:r w:rsidRPr="00C0396F">
              <w:rPr>
                <w:rFonts w:ascii="Lato" w:hAnsi="Lato" w:cs="Arial"/>
                <w:color w:val="auto"/>
                <w:sz w:val="20"/>
                <w:szCs w:val="20"/>
              </w:rPr>
              <w:t>Okna i drzwi – Wodoszczelność – Metoda badania.</w:t>
            </w:r>
          </w:p>
        </w:tc>
      </w:tr>
      <w:tr w:rsidR="00D00A58" w:rsidRPr="00C0396F" w14:paraId="210DA8F8" w14:textId="77777777" w:rsidTr="00D52A61">
        <w:trPr>
          <w:trHeight w:val="426"/>
        </w:trPr>
        <w:tc>
          <w:tcPr>
            <w:tcW w:w="3261" w:type="dxa"/>
          </w:tcPr>
          <w:p w14:paraId="56A59571" w14:textId="77777777" w:rsidR="007F0A6F" w:rsidRPr="00C0396F" w:rsidRDefault="00B259FF" w:rsidP="00D52A61">
            <w:pPr>
              <w:spacing w:after="0" w:line="259" w:lineRule="auto"/>
              <w:ind w:left="451" w:right="0" w:hanging="451"/>
              <w:jc w:val="left"/>
              <w:rPr>
                <w:rFonts w:ascii="Lato" w:hAnsi="Lato" w:cs="Arial"/>
                <w:color w:val="auto"/>
                <w:sz w:val="20"/>
                <w:szCs w:val="20"/>
                <w:lang w:val="en-US"/>
              </w:rPr>
            </w:pPr>
            <w:r w:rsidRPr="00C0396F">
              <w:rPr>
                <w:rFonts w:ascii="Lato" w:hAnsi="Lato" w:cs="Arial"/>
                <w:color w:val="auto"/>
                <w:sz w:val="20"/>
                <w:szCs w:val="20"/>
                <w:lang w:val="en-US"/>
              </w:rPr>
              <w:t xml:space="preserve">6. PN-ENV 1187:2004 </w:t>
            </w:r>
          </w:p>
          <w:p w14:paraId="2962E878" w14:textId="77777777" w:rsidR="007F0A6F" w:rsidRPr="00C0396F" w:rsidRDefault="00B259FF" w:rsidP="00D52A61">
            <w:pPr>
              <w:spacing w:after="0" w:line="259" w:lineRule="auto"/>
              <w:ind w:left="682" w:right="0" w:hanging="451"/>
              <w:jc w:val="left"/>
              <w:rPr>
                <w:rFonts w:ascii="Lato" w:hAnsi="Lato" w:cs="Arial"/>
                <w:color w:val="auto"/>
                <w:sz w:val="20"/>
                <w:szCs w:val="20"/>
                <w:lang w:val="en-US"/>
              </w:rPr>
            </w:pPr>
            <w:r w:rsidRPr="00C0396F">
              <w:rPr>
                <w:rFonts w:ascii="Lato" w:hAnsi="Lato" w:cs="Arial"/>
                <w:color w:val="auto"/>
                <w:sz w:val="20"/>
                <w:szCs w:val="20"/>
                <w:lang w:val="en-US"/>
              </w:rPr>
              <w:t>PN-ENV 1187:2004/A1:2007</w:t>
            </w:r>
          </w:p>
        </w:tc>
        <w:tc>
          <w:tcPr>
            <w:tcW w:w="5953" w:type="dxa"/>
          </w:tcPr>
          <w:p w14:paraId="527D03F5" w14:textId="77777777" w:rsidR="007F0A6F" w:rsidRPr="00C0396F" w:rsidRDefault="00B259FF">
            <w:pPr>
              <w:spacing w:after="0" w:line="259" w:lineRule="auto"/>
              <w:ind w:left="0" w:right="0" w:firstLine="0"/>
              <w:rPr>
                <w:rFonts w:ascii="Lato" w:hAnsi="Lato" w:cs="Arial"/>
                <w:color w:val="auto"/>
                <w:sz w:val="20"/>
                <w:szCs w:val="20"/>
              </w:rPr>
            </w:pPr>
            <w:r w:rsidRPr="00C0396F">
              <w:rPr>
                <w:rFonts w:ascii="Lato" w:hAnsi="Lato" w:cs="Arial"/>
                <w:color w:val="auto"/>
                <w:sz w:val="20"/>
                <w:szCs w:val="20"/>
              </w:rPr>
              <w:t>Metody badań oddziaływania ognia zewnętrznego na dachy.</w:t>
            </w:r>
          </w:p>
        </w:tc>
      </w:tr>
      <w:tr w:rsidR="00D00A58" w:rsidRPr="00C0396F" w14:paraId="4F12F5DC" w14:textId="77777777" w:rsidTr="00D52A61">
        <w:trPr>
          <w:trHeight w:val="418"/>
        </w:trPr>
        <w:tc>
          <w:tcPr>
            <w:tcW w:w="3261" w:type="dxa"/>
          </w:tcPr>
          <w:p w14:paraId="2417F934" w14:textId="77777777" w:rsidR="007F0A6F" w:rsidRPr="00C0396F" w:rsidRDefault="00B259FF" w:rsidP="00D52A61">
            <w:pPr>
              <w:spacing w:after="0" w:line="259" w:lineRule="auto"/>
              <w:ind w:left="451" w:right="0" w:hanging="451"/>
              <w:jc w:val="left"/>
              <w:rPr>
                <w:rFonts w:ascii="Lato" w:hAnsi="Lato" w:cs="Arial"/>
                <w:color w:val="auto"/>
                <w:sz w:val="20"/>
                <w:szCs w:val="20"/>
              </w:rPr>
            </w:pPr>
            <w:r w:rsidRPr="00C0396F">
              <w:rPr>
                <w:rFonts w:ascii="Lato" w:hAnsi="Lato" w:cs="Arial"/>
                <w:color w:val="auto"/>
                <w:sz w:val="20"/>
                <w:szCs w:val="20"/>
              </w:rPr>
              <w:t>7. PN-EN 1191:2002</w:t>
            </w:r>
          </w:p>
        </w:tc>
        <w:tc>
          <w:tcPr>
            <w:tcW w:w="5953" w:type="dxa"/>
          </w:tcPr>
          <w:p w14:paraId="46C001D4" w14:textId="77777777" w:rsidR="007F0A6F" w:rsidRPr="00C0396F" w:rsidRDefault="00B259FF">
            <w:pPr>
              <w:spacing w:after="0" w:line="259" w:lineRule="auto"/>
              <w:ind w:left="0" w:right="0" w:firstLine="0"/>
              <w:rPr>
                <w:rFonts w:ascii="Lato" w:hAnsi="Lato" w:cs="Arial"/>
                <w:color w:val="auto"/>
                <w:sz w:val="20"/>
                <w:szCs w:val="20"/>
              </w:rPr>
            </w:pPr>
            <w:r w:rsidRPr="00C0396F">
              <w:rPr>
                <w:rFonts w:ascii="Lato" w:hAnsi="Lato" w:cs="Arial"/>
                <w:color w:val="auto"/>
                <w:sz w:val="20"/>
                <w:szCs w:val="20"/>
              </w:rPr>
              <w:t>Okna i drzwi – Odporność na wielokrotne otwieranie i zamykanie – Metoda badania.</w:t>
            </w:r>
          </w:p>
        </w:tc>
      </w:tr>
      <w:tr w:rsidR="00D00A58" w:rsidRPr="00C0396F" w14:paraId="07F72EA9" w14:textId="77777777" w:rsidTr="00D52A61">
        <w:trPr>
          <w:trHeight w:val="410"/>
        </w:trPr>
        <w:tc>
          <w:tcPr>
            <w:tcW w:w="3261" w:type="dxa"/>
          </w:tcPr>
          <w:p w14:paraId="256EDC94" w14:textId="77777777" w:rsidR="007F0A6F" w:rsidRPr="00C0396F" w:rsidRDefault="00B259FF" w:rsidP="00D52A61">
            <w:pPr>
              <w:spacing w:after="0" w:line="259" w:lineRule="auto"/>
              <w:ind w:left="451" w:right="0" w:hanging="451"/>
              <w:jc w:val="left"/>
              <w:rPr>
                <w:rFonts w:ascii="Lato" w:hAnsi="Lato" w:cs="Arial"/>
                <w:color w:val="auto"/>
                <w:sz w:val="20"/>
                <w:szCs w:val="20"/>
              </w:rPr>
            </w:pPr>
            <w:r w:rsidRPr="00C0396F">
              <w:rPr>
                <w:rFonts w:ascii="Lato" w:hAnsi="Lato" w:cs="Arial"/>
                <w:color w:val="auto"/>
                <w:sz w:val="20"/>
                <w:szCs w:val="20"/>
              </w:rPr>
              <w:t>8. PN-EN 1522:2000</w:t>
            </w:r>
          </w:p>
        </w:tc>
        <w:tc>
          <w:tcPr>
            <w:tcW w:w="5953" w:type="dxa"/>
          </w:tcPr>
          <w:p w14:paraId="2910E392" w14:textId="77777777" w:rsidR="007F0A6F" w:rsidRPr="00C0396F" w:rsidRDefault="00B259FF">
            <w:pPr>
              <w:spacing w:after="0" w:line="259" w:lineRule="auto"/>
              <w:ind w:left="0" w:right="0" w:firstLine="0"/>
              <w:rPr>
                <w:rFonts w:ascii="Lato" w:hAnsi="Lato" w:cs="Arial"/>
                <w:color w:val="auto"/>
                <w:sz w:val="20"/>
                <w:szCs w:val="20"/>
              </w:rPr>
            </w:pPr>
            <w:r w:rsidRPr="00C0396F">
              <w:rPr>
                <w:rFonts w:ascii="Lato" w:hAnsi="Lato" w:cs="Arial"/>
                <w:color w:val="auto"/>
                <w:sz w:val="20"/>
                <w:szCs w:val="20"/>
              </w:rPr>
              <w:t>Okna, drzwi, żaluzje i zasłony – Kuloodporność – Wymagania i klasyfikacja.</w:t>
            </w:r>
          </w:p>
        </w:tc>
      </w:tr>
      <w:tr w:rsidR="00D00A58" w:rsidRPr="00C0396F" w14:paraId="379A8447" w14:textId="77777777" w:rsidTr="00D52A61">
        <w:trPr>
          <w:trHeight w:val="540"/>
        </w:trPr>
        <w:tc>
          <w:tcPr>
            <w:tcW w:w="3261" w:type="dxa"/>
          </w:tcPr>
          <w:p w14:paraId="30C5BBF9" w14:textId="77777777" w:rsidR="007F0A6F" w:rsidRPr="00C0396F" w:rsidRDefault="00B259FF" w:rsidP="00D52A61">
            <w:pPr>
              <w:spacing w:after="0" w:line="259" w:lineRule="auto"/>
              <w:ind w:left="451" w:right="0" w:hanging="451"/>
              <w:jc w:val="left"/>
              <w:rPr>
                <w:rFonts w:ascii="Lato" w:hAnsi="Lato" w:cs="Arial"/>
                <w:color w:val="auto"/>
                <w:sz w:val="20"/>
                <w:szCs w:val="20"/>
              </w:rPr>
            </w:pPr>
            <w:r w:rsidRPr="00C0396F">
              <w:rPr>
                <w:rFonts w:ascii="Lato" w:hAnsi="Lato" w:cs="Arial"/>
                <w:color w:val="auto"/>
                <w:sz w:val="20"/>
                <w:szCs w:val="20"/>
              </w:rPr>
              <w:t>9. PN-EN 1523:2000</w:t>
            </w:r>
          </w:p>
        </w:tc>
        <w:tc>
          <w:tcPr>
            <w:tcW w:w="5953" w:type="dxa"/>
          </w:tcPr>
          <w:p w14:paraId="2CC90A3D" w14:textId="77777777" w:rsidR="007F0A6F" w:rsidRPr="00C0396F" w:rsidRDefault="00B259FF">
            <w:pPr>
              <w:spacing w:after="0" w:line="259" w:lineRule="auto"/>
              <w:ind w:left="0" w:right="0" w:firstLine="0"/>
              <w:jc w:val="left"/>
              <w:rPr>
                <w:rFonts w:ascii="Lato" w:hAnsi="Lato" w:cs="Arial"/>
                <w:color w:val="auto"/>
                <w:sz w:val="20"/>
                <w:szCs w:val="20"/>
              </w:rPr>
            </w:pPr>
            <w:r w:rsidRPr="00C0396F">
              <w:rPr>
                <w:rFonts w:ascii="Lato" w:hAnsi="Lato" w:cs="Arial"/>
                <w:color w:val="auto"/>
                <w:sz w:val="20"/>
                <w:szCs w:val="20"/>
              </w:rPr>
              <w:t>Okna,</w:t>
            </w:r>
            <w:r w:rsidRPr="00C0396F">
              <w:rPr>
                <w:rFonts w:ascii="Lato" w:hAnsi="Lato" w:cs="Arial"/>
                <w:color w:val="auto"/>
                <w:sz w:val="20"/>
                <w:szCs w:val="20"/>
              </w:rPr>
              <w:tab/>
              <w:t xml:space="preserve"> drzwi,</w:t>
            </w:r>
            <w:r w:rsidRPr="00C0396F">
              <w:rPr>
                <w:rFonts w:ascii="Lato" w:hAnsi="Lato" w:cs="Arial"/>
                <w:color w:val="auto"/>
                <w:sz w:val="20"/>
                <w:szCs w:val="20"/>
              </w:rPr>
              <w:tab/>
              <w:t xml:space="preserve"> żaluzje</w:t>
            </w:r>
            <w:r w:rsidRPr="00C0396F">
              <w:rPr>
                <w:rFonts w:ascii="Lato" w:hAnsi="Lato" w:cs="Arial"/>
                <w:color w:val="auto"/>
                <w:sz w:val="20"/>
                <w:szCs w:val="20"/>
              </w:rPr>
              <w:tab/>
              <w:t xml:space="preserve"> i</w:t>
            </w:r>
            <w:r w:rsidRPr="00C0396F">
              <w:rPr>
                <w:rFonts w:ascii="Lato" w:hAnsi="Lato" w:cs="Arial"/>
                <w:color w:val="auto"/>
                <w:sz w:val="20"/>
                <w:szCs w:val="20"/>
              </w:rPr>
              <w:tab/>
              <w:t xml:space="preserve"> zasłony</w:t>
            </w:r>
            <w:r w:rsidRPr="00C0396F">
              <w:rPr>
                <w:rFonts w:ascii="Lato" w:hAnsi="Lato" w:cs="Arial"/>
                <w:color w:val="auto"/>
                <w:sz w:val="20"/>
                <w:szCs w:val="20"/>
              </w:rPr>
              <w:tab/>
              <w:t xml:space="preserve"> – Kuloodporność – Metody badań.</w:t>
            </w:r>
          </w:p>
        </w:tc>
      </w:tr>
      <w:tr w:rsidR="00D00A58" w:rsidRPr="00C0396F" w14:paraId="2779A82C" w14:textId="77777777" w:rsidTr="00D52A61">
        <w:trPr>
          <w:trHeight w:val="643"/>
        </w:trPr>
        <w:tc>
          <w:tcPr>
            <w:tcW w:w="3261" w:type="dxa"/>
          </w:tcPr>
          <w:p w14:paraId="3DD16186" w14:textId="63C1B008" w:rsidR="007F0A6F" w:rsidRPr="00C0396F" w:rsidRDefault="00D52A61" w:rsidP="00D52A61">
            <w:pPr>
              <w:spacing w:after="0" w:line="259" w:lineRule="auto"/>
              <w:ind w:left="331" w:right="0" w:hanging="451"/>
              <w:jc w:val="left"/>
              <w:rPr>
                <w:rFonts w:ascii="Lato" w:hAnsi="Lato" w:cs="Arial"/>
                <w:color w:val="auto"/>
                <w:sz w:val="20"/>
                <w:szCs w:val="20"/>
              </w:rPr>
            </w:pPr>
            <w:r w:rsidRPr="00C0396F">
              <w:rPr>
                <w:rFonts w:ascii="Lato" w:hAnsi="Lato" w:cs="Arial"/>
                <w:color w:val="auto"/>
                <w:sz w:val="20"/>
                <w:szCs w:val="20"/>
              </w:rPr>
              <w:t xml:space="preserve">   </w:t>
            </w:r>
            <w:r w:rsidR="00B259FF" w:rsidRPr="00C0396F">
              <w:rPr>
                <w:rFonts w:ascii="Lato" w:hAnsi="Lato" w:cs="Arial"/>
                <w:color w:val="auto"/>
                <w:sz w:val="20"/>
                <w:szCs w:val="20"/>
              </w:rPr>
              <w:t>10.PN-ENV 1627:2006</w:t>
            </w:r>
          </w:p>
        </w:tc>
        <w:tc>
          <w:tcPr>
            <w:tcW w:w="5953" w:type="dxa"/>
          </w:tcPr>
          <w:p w14:paraId="24972155" w14:textId="77777777" w:rsidR="007F0A6F" w:rsidRPr="00C0396F" w:rsidRDefault="00B259FF">
            <w:pPr>
              <w:spacing w:after="35" w:line="220" w:lineRule="auto"/>
              <w:ind w:left="0" w:right="0" w:firstLine="0"/>
              <w:rPr>
                <w:rFonts w:ascii="Lato" w:hAnsi="Lato" w:cs="Arial"/>
                <w:color w:val="auto"/>
                <w:sz w:val="20"/>
                <w:szCs w:val="20"/>
              </w:rPr>
            </w:pPr>
            <w:r w:rsidRPr="00C0396F">
              <w:rPr>
                <w:rFonts w:ascii="Lato" w:hAnsi="Lato" w:cs="Arial"/>
                <w:color w:val="auto"/>
                <w:sz w:val="20"/>
                <w:szCs w:val="20"/>
              </w:rPr>
              <w:t>Okna, drzwi, żaluzje – Odporność na włamanie – Wymagania i klasyfikacja</w:t>
            </w:r>
          </w:p>
          <w:p w14:paraId="54E67093" w14:textId="77777777" w:rsidR="007F0A6F" w:rsidRPr="00C0396F" w:rsidRDefault="00B259FF">
            <w:pPr>
              <w:spacing w:after="0" w:line="259" w:lineRule="auto"/>
              <w:ind w:left="0" w:right="0" w:firstLine="0"/>
              <w:jc w:val="left"/>
              <w:rPr>
                <w:rFonts w:ascii="Lato" w:hAnsi="Lato" w:cs="Arial"/>
                <w:color w:val="auto"/>
                <w:sz w:val="20"/>
                <w:szCs w:val="20"/>
              </w:rPr>
            </w:pPr>
            <w:r w:rsidRPr="00C0396F">
              <w:rPr>
                <w:rFonts w:ascii="Lato" w:hAnsi="Lato" w:cs="Arial"/>
                <w:color w:val="auto"/>
                <w:sz w:val="20"/>
                <w:szCs w:val="20"/>
              </w:rPr>
              <w:t>(oryg.).</w:t>
            </w:r>
          </w:p>
        </w:tc>
      </w:tr>
      <w:tr w:rsidR="00D00A58" w:rsidRPr="00C0396F" w14:paraId="24575FDC" w14:textId="77777777" w:rsidTr="00D52A61">
        <w:trPr>
          <w:trHeight w:val="695"/>
        </w:trPr>
        <w:tc>
          <w:tcPr>
            <w:tcW w:w="3261" w:type="dxa"/>
          </w:tcPr>
          <w:p w14:paraId="013561A0" w14:textId="0679717B" w:rsidR="007F0A6F" w:rsidRPr="00C0396F" w:rsidRDefault="00B259FF" w:rsidP="00D52A61">
            <w:pPr>
              <w:spacing w:after="0" w:line="259" w:lineRule="auto"/>
              <w:ind w:left="331" w:right="0" w:hanging="451"/>
              <w:jc w:val="left"/>
              <w:rPr>
                <w:rFonts w:ascii="Lato" w:hAnsi="Lato" w:cs="Arial"/>
                <w:color w:val="auto"/>
                <w:sz w:val="20"/>
                <w:szCs w:val="20"/>
              </w:rPr>
            </w:pPr>
            <w:r w:rsidRPr="00C0396F">
              <w:rPr>
                <w:rFonts w:ascii="Lato" w:hAnsi="Lato" w:cs="Arial"/>
                <w:color w:val="auto"/>
                <w:sz w:val="20"/>
                <w:szCs w:val="20"/>
              </w:rPr>
              <w:t>1</w:t>
            </w:r>
            <w:r w:rsidR="00D52A61" w:rsidRPr="00C0396F">
              <w:rPr>
                <w:rFonts w:ascii="Lato" w:hAnsi="Lato" w:cs="Arial"/>
                <w:color w:val="auto"/>
                <w:sz w:val="20"/>
                <w:szCs w:val="20"/>
              </w:rPr>
              <w:t xml:space="preserve"> 1</w:t>
            </w:r>
            <w:r w:rsidRPr="00C0396F">
              <w:rPr>
                <w:rFonts w:ascii="Lato" w:hAnsi="Lato" w:cs="Arial"/>
                <w:color w:val="auto"/>
                <w:sz w:val="20"/>
                <w:szCs w:val="20"/>
              </w:rPr>
              <w:t>1.PN-ENV 1628:2006</w:t>
            </w:r>
          </w:p>
        </w:tc>
        <w:tc>
          <w:tcPr>
            <w:tcW w:w="5953" w:type="dxa"/>
          </w:tcPr>
          <w:p w14:paraId="77EEEF18" w14:textId="77777777" w:rsidR="007F0A6F" w:rsidRPr="00C0396F" w:rsidRDefault="00B259FF">
            <w:pPr>
              <w:spacing w:after="0" w:line="259" w:lineRule="auto"/>
              <w:ind w:left="0" w:right="0" w:firstLine="0"/>
              <w:rPr>
                <w:rFonts w:ascii="Lato" w:hAnsi="Lato" w:cs="Arial"/>
                <w:color w:val="auto"/>
                <w:sz w:val="20"/>
                <w:szCs w:val="20"/>
              </w:rPr>
            </w:pPr>
            <w:r w:rsidRPr="00C0396F">
              <w:rPr>
                <w:rFonts w:ascii="Lato" w:hAnsi="Lato" w:cs="Arial"/>
                <w:color w:val="auto"/>
                <w:sz w:val="20"/>
                <w:szCs w:val="20"/>
              </w:rPr>
              <w:t>Okna, drzwi, żaluzje – Odporność na włamanie – Metoda badania dla określenia odporności na obciążenie statyczne (oryg.).</w:t>
            </w:r>
          </w:p>
        </w:tc>
      </w:tr>
      <w:tr w:rsidR="00D00A58" w:rsidRPr="00C0396F" w14:paraId="5C602B30" w14:textId="77777777" w:rsidTr="00D52A61">
        <w:trPr>
          <w:trHeight w:val="703"/>
        </w:trPr>
        <w:tc>
          <w:tcPr>
            <w:tcW w:w="3261" w:type="dxa"/>
          </w:tcPr>
          <w:p w14:paraId="47054EC4" w14:textId="7C031F59" w:rsidR="007F0A6F" w:rsidRPr="00C0396F" w:rsidRDefault="00B259FF" w:rsidP="00D52A61">
            <w:pPr>
              <w:spacing w:after="0" w:line="259" w:lineRule="auto"/>
              <w:ind w:left="331" w:right="0" w:hanging="451"/>
              <w:jc w:val="left"/>
              <w:rPr>
                <w:rFonts w:ascii="Lato" w:hAnsi="Lato" w:cs="Arial"/>
                <w:color w:val="auto"/>
                <w:sz w:val="20"/>
                <w:szCs w:val="20"/>
              </w:rPr>
            </w:pPr>
            <w:r w:rsidRPr="00C0396F">
              <w:rPr>
                <w:rFonts w:ascii="Lato" w:hAnsi="Lato" w:cs="Arial"/>
                <w:color w:val="auto"/>
                <w:sz w:val="20"/>
                <w:szCs w:val="20"/>
              </w:rPr>
              <w:t>1</w:t>
            </w:r>
            <w:r w:rsidR="00D52A61" w:rsidRPr="00C0396F">
              <w:rPr>
                <w:rFonts w:ascii="Lato" w:hAnsi="Lato" w:cs="Arial"/>
                <w:color w:val="auto"/>
                <w:sz w:val="20"/>
                <w:szCs w:val="20"/>
              </w:rPr>
              <w:t xml:space="preserve"> 1</w:t>
            </w:r>
            <w:r w:rsidRPr="00C0396F">
              <w:rPr>
                <w:rFonts w:ascii="Lato" w:hAnsi="Lato" w:cs="Arial"/>
                <w:color w:val="auto"/>
                <w:sz w:val="20"/>
                <w:szCs w:val="20"/>
              </w:rPr>
              <w:t>2.PN-ENV 1629:2006</w:t>
            </w:r>
          </w:p>
        </w:tc>
        <w:tc>
          <w:tcPr>
            <w:tcW w:w="5953" w:type="dxa"/>
          </w:tcPr>
          <w:p w14:paraId="31AB98DC" w14:textId="77777777" w:rsidR="007F0A6F" w:rsidRPr="00C0396F" w:rsidRDefault="00B259FF">
            <w:pPr>
              <w:spacing w:after="35" w:line="220" w:lineRule="auto"/>
              <w:ind w:left="0" w:right="0" w:firstLine="0"/>
              <w:rPr>
                <w:rFonts w:ascii="Lato" w:hAnsi="Lato" w:cs="Arial"/>
                <w:color w:val="auto"/>
                <w:sz w:val="20"/>
                <w:szCs w:val="20"/>
              </w:rPr>
            </w:pPr>
            <w:r w:rsidRPr="00C0396F">
              <w:rPr>
                <w:rFonts w:ascii="Lato" w:hAnsi="Lato" w:cs="Arial"/>
                <w:color w:val="auto"/>
                <w:sz w:val="20"/>
                <w:szCs w:val="20"/>
              </w:rPr>
              <w:t>Okna, drzwi, żaluzje – Odporność na włamanie – Metoda badania dla określenia odporności na obciążenie dynamiczne</w:t>
            </w:r>
          </w:p>
          <w:p w14:paraId="1F13F9BB" w14:textId="77777777" w:rsidR="007F0A6F" w:rsidRPr="00C0396F" w:rsidRDefault="00B259FF">
            <w:pPr>
              <w:spacing w:after="0" w:line="259" w:lineRule="auto"/>
              <w:ind w:left="0" w:right="0" w:firstLine="0"/>
              <w:jc w:val="left"/>
              <w:rPr>
                <w:rFonts w:ascii="Lato" w:hAnsi="Lato" w:cs="Arial"/>
                <w:color w:val="auto"/>
                <w:sz w:val="20"/>
                <w:szCs w:val="20"/>
              </w:rPr>
            </w:pPr>
            <w:r w:rsidRPr="00C0396F">
              <w:rPr>
                <w:rFonts w:ascii="Lato" w:hAnsi="Lato" w:cs="Arial"/>
                <w:color w:val="auto"/>
                <w:sz w:val="20"/>
                <w:szCs w:val="20"/>
              </w:rPr>
              <w:t>(oryg.).</w:t>
            </w:r>
          </w:p>
        </w:tc>
      </w:tr>
      <w:tr w:rsidR="00D00A58" w:rsidRPr="00C0396F" w14:paraId="7A28044B" w14:textId="77777777" w:rsidTr="00D52A61">
        <w:trPr>
          <w:trHeight w:val="842"/>
        </w:trPr>
        <w:tc>
          <w:tcPr>
            <w:tcW w:w="3261" w:type="dxa"/>
          </w:tcPr>
          <w:p w14:paraId="7065A960" w14:textId="1ED684DB" w:rsidR="007F0A6F" w:rsidRPr="00C0396F" w:rsidRDefault="00B259FF" w:rsidP="00D52A61">
            <w:pPr>
              <w:spacing w:after="0" w:line="259" w:lineRule="auto"/>
              <w:ind w:left="331" w:right="0" w:hanging="451"/>
              <w:jc w:val="left"/>
              <w:rPr>
                <w:rFonts w:ascii="Lato" w:hAnsi="Lato" w:cs="Arial"/>
                <w:color w:val="auto"/>
                <w:sz w:val="20"/>
                <w:szCs w:val="20"/>
              </w:rPr>
            </w:pPr>
            <w:r w:rsidRPr="00C0396F">
              <w:rPr>
                <w:rFonts w:ascii="Lato" w:hAnsi="Lato" w:cs="Arial"/>
                <w:color w:val="auto"/>
                <w:sz w:val="20"/>
                <w:szCs w:val="20"/>
              </w:rPr>
              <w:t>1</w:t>
            </w:r>
            <w:r w:rsidR="00D52A61" w:rsidRPr="00C0396F">
              <w:rPr>
                <w:rFonts w:ascii="Lato" w:hAnsi="Lato" w:cs="Arial"/>
                <w:color w:val="auto"/>
                <w:sz w:val="20"/>
                <w:szCs w:val="20"/>
              </w:rPr>
              <w:t xml:space="preserve"> 1</w:t>
            </w:r>
            <w:r w:rsidRPr="00C0396F">
              <w:rPr>
                <w:rFonts w:ascii="Lato" w:hAnsi="Lato" w:cs="Arial"/>
                <w:color w:val="auto"/>
                <w:sz w:val="20"/>
                <w:szCs w:val="20"/>
              </w:rPr>
              <w:t>3.PN-ENV 1630:2006</w:t>
            </w:r>
          </w:p>
        </w:tc>
        <w:tc>
          <w:tcPr>
            <w:tcW w:w="5953" w:type="dxa"/>
          </w:tcPr>
          <w:p w14:paraId="071FB905" w14:textId="77777777" w:rsidR="007F0A6F" w:rsidRPr="00C0396F" w:rsidRDefault="00B259FF">
            <w:pPr>
              <w:spacing w:after="35" w:line="220" w:lineRule="auto"/>
              <w:ind w:left="0" w:right="0" w:firstLine="0"/>
              <w:rPr>
                <w:rFonts w:ascii="Lato" w:hAnsi="Lato" w:cs="Arial"/>
                <w:color w:val="auto"/>
                <w:sz w:val="20"/>
                <w:szCs w:val="20"/>
              </w:rPr>
            </w:pPr>
            <w:r w:rsidRPr="00C0396F">
              <w:rPr>
                <w:rFonts w:ascii="Lato" w:hAnsi="Lato" w:cs="Arial"/>
                <w:color w:val="auto"/>
                <w:sz w:val="20"/>
                <w:szCs w:val="20"/>
              </w:rPr>
              <w:t>Okna, drzwi, żaluzje – Odporność na włamanie – Metoda badania dla określenia odporności na próby włamania ręcznego</w:t>
            </w:r>
          </w:p>
          <w:p w14:paraId="6709B314" w14:textId="77777777" w:rsidR="007F0A6F" w:rsidRPr="00C0396F" w:rsidRDefault="00B259FF">
            <w:pPr>
              <w:spacing w:after="0" w:line="259" w:lineRule="auto"/>
              <w:ind w:left="0" w:right="0" w:firstLine="0"/>
              <w:jc w:val="left"/>
              <w:rPr>
                <w:rFonts w:ascii="Lato" w:hAnsi="Lato" w:cs="Arial"/>
                <w:color w:val="auto"/>
                <w:sz w:val="20"/>
                <w:szCs w:val="20"/>
              </w:rPr>
            </w:pPr>
            <w:r w:rsidRPr="00C0396F">
              <w:rPr>
                <w:rFonts w:ascii="Lato" w:hAnsi="Lato" w:cs="Arial"/>
                <w:color w:val="auto"/>
                <w:sz w:val="20"/>
                <w:szCs w:val="20"/>
              </w:rPr>
              <w:t>(oryg.).</w:t>
            </w:r>
          </w:p>
        </w:tc>
      </w:tr>
      <w:tr w:rsidR="007F0A6F" w:rsidRPr="00C0396F" w14:paraId="74BA17C6" w14:textId="77777777" w:rsidTr="00D52A61">
        <w:trPr>
          <w:trHeight w:val="556"/>
        </w:trPr>
        <w:tc>
          <w:tcPr>
            <w:tcW w:w="3261" w:type="dxa"/>
          </w:tcPr>
          <w:p w14:paraId="6C399F04" w14:textId="77777777" w:rsidR="007F0A6F" w:rsidRPr="00C0396F" w:rsidRDefault="00B259FF" w:rsidP="00D52A61">
            <w:pPr>
              <w:spacing w:after="0" w:line="259" w:lineRule="auto"/>
              <w:ind w:left="331" w:right="0" w:hanging="331"/>
              <w:jc w:val="left"/>
              <w:rPr>
                <w:rFonts w:ascii="Lato" w:hAnsi="Lato" w:cs="Arial"/>
                <w:color w:val="auto"/>
                <w:sz w:val="20"/>
                <w:szCs w:val="20"/>
                <w:lang w:val="en-US"/>
              </w:rPr>
            </w:pPr>
            <w:r w:rsidRPr="00C0396F">
              <w:rPr>
                <w:rFonts w:ascii="Lato" w:hAnsi="Lato" w:cs="Arial"/>
                <w:color w:val="auto"/>
                <w:sz w:val="20"/>
                <w:szCs w:val="20"/>
                <w:lang w:val="en-US"/>
              </w:rPr>
              <w:t xml:space="preserve">14.PN-EN ISO 10077-1:2007 </w:t>
            </w:r>
          </w:p>
          <w:p w14:paraId="79963A56" w14:textId="0DA72C77" w:rsidR="007F0A6F" w:rsidRPr="00C0396F" w:rsidRDefault="00D52A61" w:rsidP="00D52A61">
            <w:pPr>
              <w:spacing w:after="0" w:line="259" w:lineRule="auto"/>
              <w:ind w:right="0"/>
              <w:jc w:val="left"/>
              <w:rPr>
                <w:rFonts w:ascii="Lato" w:hAnsi="Lato" w:cs="Arial"/>
                <w:color w:val="auto"/>
                <w:sz w:val="20"/>
                <w:szCs w:val="20"/>
                <w:lang w:val="en-US"/>
              </w:rPr>
            </w:pPr>
            <w:r w:rsidRPr="00C0396F">
              <w:rPr>
                <w:rFonts w:ascii="Lato" w:hAnsi="Lato" w:cs="Arial"/>
                <w:color w:val="auto"/>
                <w:sz w:val="20"/>
                <w:szCs w:val="20"/>
                <w:lang w:val="en-US"/>
              </w:rPr>
              <w:t xml:space="preserve">        </w:t>
            </w:r>
            <w:r w:rsidR="00B259FF" w:rsidRPr="00C0396F">
              <w:rPr>
                <w:rFonts w:ascii="Lato" w:hAnsi="Lato" w:cs="Arial"/>
                <w:color w:val="auto"/>
                <w:sz w:val="20"/>
                <w:szCs w:val="20"/>
                <w:lang w:val="en-US"/>
              </w:rPr>
              <w:t>PN-EN ISO 10077-1:2007/AC:2010</w:t>
            </w:r>
          </w:p>
        </w:tc>
        <w:tc>
          <w:tcPr>
            <w:tcW w:w="5953" w:type="dxa"/>
          </w:tcPr>
          <w:p w14:paraId="1348E603" w14:textId="77777777" w:rsidR="007F0A6F" w:rsidRPr="00C0396F" w:rsidRDefault="00B259FF">
            <w:pPr>
              <w:spacing w:after="0" w:line="220" w:lineRule="auto"/>
              <w:ind w:left="0" w:right="0" w:firstLine="0"/>
              <w:rPr>
                <w:rFonts w:ascii="Lato" w:hAnsi="Lato" w:cs="Arial"/>
                <w:color w:val="auto"/>
                <w:sz w:val="20"/>
                <w:szCs w:val="20"/>
              </w:rPr>
            </w:pPr>
            <w:r w:rsidRPr="00C0396F">
              <w:rPr>
                <w:rFonts w:ascii="Lato" w:hAnsi="Lato" w:cs="Arial"/>
                <w:color w:val="auto"/>
                <w:sz w:val="20"/>
                <w:szCs w:val="20"/>
              </w:rPr>
              <w:t>Cieplne właściwości użytkowe okien, drzwi i żaluzji – Obliczanie współczynnika przenikania ciepła – Część 1:</w:t>
            </w:r>
          </w:p>
          <w:p w14:paraId="6EACC2CD" w14:textId="77777777" w:rsidR="007F0A6F" w:rsidRPr="00C0396F" w:rsidRDefault="00B259FF">
            <w:pPr>
              <w:spacing w:after="0" w:line="259" w:lineRule="auto"/>
              <w:ind w:left="0" w:right="0" w:firstLine="0"/>
              <w:jc w:val="left"/>
              <w:rPr>
                <w:rFonts w:ascii="Lato" w:hAnsi="Lato" w:cs="Arial"/>
                <w:color w:val="auto"/>
                <w:sz w:val="20"/>
                <w:szCs w:val="20"/>
              </w:rPr>
            </w:pPr>
            <w:r w:rsidRPr="00C0396F">
              <w:rPr>
                <w:rFonts w:ascii="Lato" w:hAnsi="Lato" w:cs="Arial"/>
                <w:color w:val="auto"/>
                <w:sz w:val="20"/>
                <w:szCs w:val="20"/>
              </w:rPr>
              <w:t>Postanowienia ogólne.</w:t>
            </w:r>
          </w:p>
        </w:tc>
      </w:tr>
    </w:tbl>
    <w:p w14:paraId="222EF6F3" w14:textId="77777777" w:rsidR="007F0A6F" w:rsidRPr="00C0396F" w:rsidRDefault="007F0A6F">
      <w:pPr>
        <w:spacing w:after="0" w:line="259" w:lineRule="auto"/>
        <w:ind w:left="-1207" w:right="592" w:firstLine="0"/>
        <w:jc w:val="left"/>
        <w:rPr>
          <w:rFonts w:ascii="Lato" w:hAnsi="Lato" w:cs="Arial"/>
          <w:color w:val="auto"/>
          <w:sz w:val="20"/>
          <w:szCs w:val="20"/>
        </w:rPr>
      </w:pPr>
    </w:p>
    <w:tbl>
      <w:tblPr>
        <w:tblStyle w:val="TableGrid"/>
        <w:tblW w:w="9214" w:type="dxa"/>
        <w:tblInd w:w="-5" w:type="dxa"/>
        <w:tblLook w:val="04A0" w:firstRow="1" w:lastRow="0" w:firstColumn="1" w:lastColumn="0" w:noHBand="0" w:noVBand="1"/>
      </w:tblPr>
      <w:tblGrid>
        <w:gridCol w:w="3261"/>
        <w:gridCol w:w="5953"/>
      </w:tblGrid>
      <w:tr w:rsidR="00D00A58" w:rsidRPr="00C0396F" w14:paraId="057427B3" w14:textId="77777777" w:rsidTr="00D52A61">
        <w:trPr>
          <w:trHeight w:val="624"/>
        </w:trPr>
        <w:tc>
          <w:tcPr>
            <w:tcW w:w="3261" w:type="dxa"/>
          </w:tcPr>
          <w:p w14:paraId="7EC49107" w14:textId="77777777" w:rsidR="007F0A6F" w:rsidRPr="00C0396F" w:rsidRDefault="00B259FF">
            <w:pPr>
              <w:spacing w:after="0" w:line="259" w:lineRule="auto"/>
              <w:ind w:left="0" w:right="0" w:firstLine="0"/>
              <w:jc w:val="left"/>
              <w:rPr>
                <w:rFonts w:ascii="Lato" w:hAnsi="Lato" w:cs="Arial"/>
                <w:color w:val="auto"/>
                <w:sz w:val="20"/>
                <w:szCs w:val="20"/>
                <w:lang w:val="en-US"/>
              </w:rPr>
            </w:pPr>
            <w:r w:rsidRPr="00C0396F">
              <w:rPr>
                <w:rFonts w:ascii="Lato" w:hAnsi="Lato" w:cs="Arial"/>
                <w:color w:val="auto"/>
                <w:sz w:val="20"/>
                <w:szCs w:val="20"/>
                <w:lang w:val="en-US"/>
              </w:rPr>
              <w:t xml:space="preserve">15.PN-EN ISO 10077-2:2005 </w:t>
            </w:r>
          </w:p>
          <w:p w14:paraId="55FCC80E" w14:textId="77777777" w:rsidR="007F0A6F" w:rsidRPr="00C0396F" w:rsidRDefault="00B259FF" w:rsidP="00DF34D6">
            <w:pPr>
              <w:spacing w:after="0" w:line="259" w:lineRule="auto"/>
              <w:ind w:left="67" w:right="0" w:firstLine="0"/>
              <w:jc w:val="left"/>
              <w:rPr>
                <w:rFonts w:ascii="Lato" w:hAnsi="Lato" w:cs="Arial"/>
                <w:color w:val="auto"/>
                <w:sz w:val="20"/>
                <w:szCs w:val="20"/>
                <w:lang w:val="en-US"/>
              </w:rPr>
            </w:pPr>
            <w:r w:rsidRPr="00C0396F">
              <w:rPr>
                <w:rFonts w:ascii="Lato" w:hAnsi="Lato" w:cs="Arial"/>
                <w:color w:val="auto"/>
                <w:sz w:val="20"/>
                <w:szCs w:val="20"/>
                <w:lang w:val="en-US"/>
              </w:rPr>
              <w:t>PN-EN ISO 10077-2:2005/AP1:2010</w:t>
            </w:r>
          </w:p>
        </w:tc>
        <w:tc>
          <w:tcPr>
            <w:tcW w:w="5953" w:type="dxa"/>
          </w:tcPr>
          <w:p w14:paraId="5D93AD81" w14:textId="77777777" w:rsidR="007F0A6F" w:rsidRPr="00C0396F" w:rsidRDefault="00B259FF">
            <w:pPr>
              <w:spacing w:after="0" w:line="259" w:lineRule="auto"/>
              <w:ind w:left="0" w:right="0" w:firstLine="0"/>
              <w:rPr>
                <w:rFonts w:ascii="Lato" w:hAnsi="Lato" w:cs="Arial"/>
                <w:color w:val="auto"/>
                <w:sz w:val="20"/>
                <w:szCs w:val="20"/>
              </w:rPr>
            </w:pPr>
            <w:r w:rsidRPr="00C0396F">
              <w:rPr>
                <w:rFonts w:ascii="Lato" w:hAnsi="Lato" w:cs="Arial"/>
                <w:color w:val="auto"/>
                <w:sz w:val="20"/>
                <w:szCs w:val="20"/>
              </w:rPr>
              <w:t>Cieplne właściwości użytkowe okien, drzwi i żaluzji – Obliczanie współczynnika przenikania ciepła – Część 2: Metoda komputerowa dla ram.</w:t>
            </w:r>
          </w:p>
        </w:tc>
      </w:tr>
      <w:tr w:rsidR="00D00A58" w:rsidRPr="00C0396F" w14:paraId="611BC8B2" w14:textId="77777777" w:rsidTr="00D52A61">
        <w:trPr>
          <w:trHeight w:val="279"/>
        </w:trPr>
        <w:tc>
          <w:tcPr>
            <w:tcW w:w="3261" w:type="dxa"/>
          </w:tcPr>
          <w:p w14:paraId="5423BED7" w14:textId="77777777" w:rsidR="007F0A6F" w:rsidRPr="00C0396F" w:rsidRDefault="00B259FF">
            <w:pPr>
              <w:spacing w:after="0" w:line="259" w:lineRule="auto"/>
              <w:ind w:left="0" w:right="0" w:firstLine="0"/>
              <w:jc w:val="left"/>
              <w:rPr>
                <w:rFonts w:ascii="Lato" w:hAnsi="Lato" w:cs="Arial"/>
                <w:color w:val="auto"/>
                <w:sz w:val="20"/>
                <w:szCs w:val="20"/>
              </w:rPr>
            </w:pPr>
            <w:r w:rsidRPr="00C0396F">
              <w:rPr>
                <w:rFonts w:ascii="Lato" w:hAnsi="Lato" w:cs="Arial"/>
                <w:color w:val="auto"/>
                <w:sz w:val="20"/>
                <w:szCs w:val="20"/>
              </w:rPr>
              <w:t>16.PN-EN 12207:2001</w:t>
            </w:r>
          </w:p>
        </w:tc>
        <w:tc>
          <w:tcPr>
            <w:tcW w:w="5953" w:type="dxa"/>
          </w:tcPr>
          <w:p w14:paraId="7A5D1C83" w14:textId="77777777" w:rsidR="007F0A6F" w:rsidRPr="00C0396F" w:rsidRDefault="00B259FF">
            <w:pPr>
              <w:spacing w:after="0" w:line="259" w:lineRule="auto"/>
              <w:ind w:left="0" w:right="0" w:firstLine="0"/>
              <w:rPr>
                <w:rFonts w:ascii="Lato" w:hAnsi="Lato" w:cs="Arial"/>
                <w:color w:val="auto"/>
                <w:sz w:val="20"/>
                <w:szCs w:val="20"/>
              </w:rPr>
            </w:pPr>
            <w:r w:rsidRPr="00C0396F">
              <w:rPr>
                <w:rFonts w:ascii="Lato" w:hAnsi="Lato" w:cs="Arial"/>
                <w:color w:val="auto"/>
                <w:sz w:val="20"/>
                <w:szCs w:val="20"/>
              </w:rPr>
              <w:t>Okna i drzwi – Przepuszczalność powietrza  – Klasyfikacja.</w:t>
            </w:r>
          </w:p>
        </w:tc>
      </w:tr>
      <w:tr w:rsidR="00D00A58" w:rsidRPr="00C0396F" w14:paraId="24D0F4AC" w14:textId="77777777" w:rsidTr="00D52A61">
        <w:trPr>
          <w:trHeight w:val="410"/>
        </w:trPr>
        <w:tc>
          <w:tcPr>
            <w:tcW w:w="3261" w:type="dxa"/>
          </w:tcPr>
          <w:p w14:paraId="01EF3F4B" w14:textId="77777777" w:rsidR="007F0A6F" w:rsidRPr="00C0396F" w:rsidRDefault="00B259FF">
            <w:pPr>
              <w:spacing w:after="0" w:line="259" w:lineRule="auto"/>
              <w:ind w:left="0" w:right="0" w:firstLine="0"/>
              <w:jc w:val="left"/>
              <w:rPr>
                <w:rFonts w:ascii="Lato" w:hAnsi="Lato" w:cs="Arial"/>
                <w:color w:val="auto"/>
                <w:sz w:val="20"/>
                <w:szCs w:val="20"/>
              </w:rPr>
            </w:pPr>
            <w:r w:rsidRPr="00C0396F">
              <w:rPr>
                <w:rFonts w:ascii="Lato" w:hAnsi="Lato" w:cs="Arial"/>
                <w:color w:val="auto"/>
                <w:sz w:val="20"/>
                <w:szCs w:val="20"/>
              </w:rPr>
              <w:t>17.PN-EN 12208:2001</w:t>
            </w:r>
          </w:p>
        </w:tc>
        <w:tc>
          <w:tcPr>
            <w:tcW w:w="5953" w:type="dxa"/>
          </w:tcPr>
          <w:p w14:paraId="525BBF91" w14:textId="77777777" w:rsidR="007F0A6F" w:rsidRPr="00C0396F" w:rsidRDefault="00B259FF">
            <w:pPr>
              <w:spacing w:after="0" w:line="259" w:lineRule="auto"/>
              <w:ind w:left="0" w:right="0" w:firstLine="0"/>
              <w:jc w:val="left"/>
              <w:rPr>
                <w:rFonts w:ascii="Lato" w:hAnsi="Lato" w:cs="Arial"/>
                <w:color w:val="auto"/>
                <w:sz w:val="20"/>
                <w:szCs w:val="20"/>
              </w:rPr>
            </w:pPr>
            <w:r w:rsidRPr="00C0396F">
              <w:rPr>
                <w:rFonts w:ascii="Lato" w:hAnsi="Lato" w:cs="Arial"/>
                <w:color w:val="auto"/>
                <w:sz w:val="20"/>
                <w:szCs w:val="20"/>
              </w:rPr>
              <w:t>Okna</w:t>
            </w:r>
            <w:r w:rsidRPr="00C0396F">
              <w:rPr>
                <w:rFonts w:ascii="Lato" w:hAnsi="Lato" w:cs="Arial"/>
                <w:color w:val="auto"/>
                <w:sz w:val="20"/>
                <w:szCs w:val="20"/>
              </w:rPr>
              <w:tab/>
              <w:t xml:space="preserve"> i</w:t>
            </w:r>
            <w:r w:rsidRPr="00C0396F">
              <w:rPr>
                <w:rFonts w:ascii="Lato" w:hAnsi="Lato" w:cs="Arial"/>
                <w:color w:val="auto"/>
                <w:sz w:val="20"/>
                <w:szCs w:val="20"/>
              </w:rPr>
              <w:tab/>
              <w:t xml:space="preserve"> drzwi</w:t>
            </w:r>
            <w:r w:rsidRPr="00C0396F">
              <w:rPr>
                <w:rFonts w:ascii="Lato" w:hAnsi="Lato" w:cs="Arial"/>
                <w:color w:val="auto"/>
                <w:sz w:val="20"/>
                <w:szCs w:val="20"/>
              </w:rPr>
              <w:tab/>
              <w:t xml:space="preserve"> –</w:t>
            </w:r>
            <w:r w:rsidRPr="00C0396F">
              <w:rPr>
                <w:rFonts w:ascii="Lato" w:hAnsi="Lato" w:cs="Arial"/>
                <w:color w:val="auto"/>
                <w:sz w:val="20"/>
                <w:szCs w:val="20"/>
              </w:rPr>
              <w:tab/>
              <w:t xml:space="preserve"> Wodoszczelność</w:t>
            </w:r>
            <w:r w:rsidRPr="00C0396F">
              <w:rPr>
                <w:rFonts w:ascii="Lato" w:hAnsi="Lato" w:cs="Arial"/>
                <w:color w:val="auto"/>
                <w:sz w:val="20"/>
                <w:szCs w:val="20"/>
              </w:rPr>
              <w:tab/>
              <w:t xml:space="preserve"> – Klasyfikacja.</w:t>
            </w:r>
          </w:p>
        </w:tc>
      </w:tr>
      <w:tr w:rsidR="00D00A58" w:rsidRPr="00C0396F" w14:paraId="4DAE736F" w14:textId="77777777" w:rsidTr="00D52A61">
        <w:trPr>
          <w:trHeight w:val="402"/>
        </w:trPr>
        <w:tc>
          <w:tcPr>
            <w:tcW w:w="3261" w:type="dxa"/>
          </w:tcPr>
          <w:p w14:paraId="7F47308A" w14:textId="77777777" w:rsidR="007F0A6F" w:rsidRPr="00C0396F" w:rsidRDefault="00B259FF">
            <w:pPr>
              <w:spacing w:after="0" w:line="259" w:lineRule="auto"/>
              <w:ind w:left="0" w:right="0" w:firstLine="0"/>
              <w:jc w:val="left"/>
              <w:rPr>
                <w:rFonts w:ascii="Lato" w:hAnsi="Lato" w:cs="Arial"/>
                <w:color w:val="auto"/>
                <w:sz w:val="20"/>
                <w:szCs w:val="20"/>
                <w:lang w:val="en-US"/>
              </w:rPr>
            </w:pPr>
            <w:r w:rsidRPr="00C0396F">
              <w:rPr>
                <w:rFonts w:ascii="Lato" w:hAnsi="Lato" w:cs="Arial"/>
                <w:color w:val="auto"/>
                <w:sz w:val="20"/>
                <w:szCs w:val="20"/>
                <w:lang w:val="en-US"/>
              </w:rPr>
              <w:t xml:space="preserve">18.PN-EN 12210:2001 </w:t>
            </w:r>
          </w:p>
          <w:p w14:paraId="691E17F7" w14:textId="77777777" w:rsidR="007F0A6F" w:rsidRPr="00C0396F" w:rsidRDefault="00B259FF">
            <w:pPr>
              <w:spacing w:after="0" w:line="259" w:lineRule="auto"/>
              <w:ind w:left="350" w:right="0" w:firstLine="0"/>
              <w:jc w:val="left"/>
              <w:rPr>
                <w:rFonts w:ascii="Lato" w:hAnsi="Lato" w:cs="Arial"/>
                <w:color w:val="auto"/>
                <w:sz w:val="20"/>
                <w:szCs w:val="20"/>
                <w:lang w:val="en-US"/>
              </w:rPr>
            </w:pPr>
            <w:r w:rsidRPr="00C0396F">
              <w:rPr>
                <w:rFonts w:ascii="Lato" w:hAnsi="Lato" w:cs="Arial"/>
                <w:color w:val="auto"/>
                <w:sz w:val="20"/>
                <w:szCs w:val="20"/>
                <w:lang w:val="en-US"/>
              </w:rPr>
              <w:t>PN-EN 12210:2001/AC:2006</w:t>
            </w:r>
          </w:p>
        </w:tc>
        <w:tc>
          <w:tcPr>
            <w:tcW w:w="5953" w:type="dxa"/>
          </w:tcPr>
          <w:p w14:paraId="428A460F" w14:textId="77777777" w:rsidR="007F0A6F" w:rsidRPr="00C0396F" w:rsidRDefault="00B259FF">
            <w:pPr>
              <w:spacing w:after="0" w:line="259" w:lineRule="auto"/>
              <w:ind w:left="0" w:right="0" w:firstLine="0"/>
              <w:rPr>
                <w:rFonts w:ascii="Lato" w:hAnsi="Lato" w:cs="Arial"/>
                <w:color w:val="auto"/>
                <w:sz w:val="20"/>
                <w:szCs w:val="20"/>
              </w:rPr>
            </w:pPr>
            <w:r w:rsidRPr="00C0396F">
              <w:rPr>
                <w:rFonts w:ascii="Lato" w:hAnsi="Lato" w:cs="Arial"/>
                <w:color w:val="auto"/>
                <w:sz w:val="20"/>
                <w:szCs w:val="20"/>
              </w:rPr>
              <w:t>Okna i drzwi – Odporność na obciążenie wiatrem – Klasyfikacja.</w:t>
            </w:r>
          </w:p>
        </w:tc>
      </w:tr>
      <w:tr w:rsidR="00D00A58" w:rsidRPr="00C0396F" w14:paraId="4446AA50" w14:textId="77777777" w:rsidTr="00D52A61">
        <w:trPr>
          <w:trHeight w:val="423"/>
        </w:trPr>
        <w:tc>
          <w:tcPr>
            <w:tcW w:w="3261" w:type="dxa"/>
          </w:tcPr>
          <w:p w14:paraId="388F35D4" w14:textId="77777777" w:rsidR="007F0A6F" w:rsidRPr="00C0396F" w:rsidRDefault="00B259FF">
            <w:pPr>
              <w:spacing w:after="0" w:line="259" w:lineRule="auto"/>
              <w:ind w:left="0" w:right="0" w:firstLine="0"/>
              <w:jc w:val="left"/>
              <w:rPr>
                <w:rFonts w:ascii="Lato" w:hAnsi="Lato" w:cs="Arial"/>
                <w:color w:val="auto"/>
                <w:sz w:val="20"/>
                <w:szCs w:val="20"/>
              </w:rPr>
            </w:pPr>
            <w:r w:rsidRPr="00C0396F">
              <w:rPr>
                <w:rFonts w:ascii="Lato" w:hAnsi="Lato" w:cs="Arial"/>
                <w:color w:val="auto"/>
                <w:sz w:val="20"/>
                <w:szCs w:val="20"/>
              </w:rPr>
              <w:lastRenderedPageBreak/>
              <w:t>19.PN-EN 12211:2001</w:t>
            </w:r>
          </w:p>
        </w:tc>
        <w:tc>
          <w:tcPr>
            <w:tcW w:w="5953" w:type="dxa"/>
          </w:tcPr>
          <w:p w14:paraId="6910CAF3" w14:textId="77777777" w:rsidR="007F0A6F" w:rsidRPr="00C0396F" w:rsidRDefault="00B259FF">
            <w:pPr>
              <w:spacing w:after="0" w:line="259" w:lineRule="auto"/>
              <w:ind w:left="0" w:right="0" w:firstLine="0"/>
              <w:rPr>
                <w:rFonts w:ascii="Lato" w:hAnsi="Lato" w:cs="Arial"/>
                <w:color w:val="auto"/>
                <w:sz w:val="20"/>
                <w:szCs w:val="20"/>
              </w:rPr>
            </w:pPr>
            <w:r w:rsidRPr="00C0396F">
              <w:rPr>
                <w:rFonts w:ascii="Lato" w:hAnsi="Lato" w:cs="Arial"/>
                <w:color w:val="auto"/>
                <w:sz w:val="20"/>
                <w:szCs w:val="20"/>
              </w:rPr>
              <w:t>Okna i drzwi – Odporność na obciążenie wiatrem – Metoda badania.</w:t>
            </w:r>
          </w:p>
        </w:tc>
      </w:tr>
      <w:tr w:rsidR="00D00A58" w:rsidRPr="00C0396F" w14:paraId="68C1758A" w14:textId="77777777" w:rsidTr="00D52A61">
        <w:trPr>
          <w:trHeight w:val="414"/>
        </w:trPr>
        <w:tc>
          <w:tcPr>
            <w:tcW w:w="3261" w:type="dxa"/>
          </w:tcPr>
          <w:p w14:paraId="66009753" w14:textId="77777777" w:rsidR="007F0A6F" w:rsidRPr="00C0396F" w:rsidRDefault="00B259FF">
            <w:pPr>
              <w:spacing w:after="0" w:line="259" w:lineRule="auto"/>
              <w:ind w:left="0" w:right="0" w:firstLine="0"/>
              <w:jc w:val="left"/>
              <w:rPr>
                <w:rFonts w:ascii="Lato" w:hAnsi="Lato" w:cs="Arial"/>
                <w:color w:val="auto"/>
                <w:sz w:val="20"/>
                <w:szCs w:val="20"/>
              </w:rPr>
            </w:pPr>
            <w:r w:rsidRPr="00C0396F">
              <w:rPr>
                <w:rFonts w:ascii="Lato" w:hAnsi="Lato" w:cs="Arial"/>
                <w:color w:val="auto"/>
                <w:sz w:val="20"/>
                <w:szCs w:val="20"/>
              </w:rPr>
              <w:t>20.PN-EN 12400:2004</w:t>
            </w:r>
          </w:p>
        </w:tc>
        <w:tc>
          <w:tcPr>
            <w:tcW w:w="5953" w:type="dxa"/>
          </w:tcPr>
          <w:p w14:paraId="3FBA4A4E" w14:textId="77777777" w:rsidR="007F0A6F" w:rsidRPr="00C0396F" w:rsidRDefault="00B259FF">
            <w:pPr>
              <w:spacing w:after="0" w:line="259" w:lineRule="auto"/>
              <w:ind w:left="0" w:right="0" w:firstLine="0"/>
              <w:rPr>
                <w:rFonts w:ascii="Lato" w:hAnsi="Lato" w:cs="Arial"/>
                <w:color w:val="auto"/>
                <w:sz w:val="20"/>
                <w:szCs w:val="20"/>
              </w:rPr>
            </w:pPr>
            <w:r w:rsidRPr="00C0396F">
              <w:rPr>
                <w:rFonts w:ascii="Lato" w:hAnsi="Lato" w:cs="Arial"/>
                <w:color w:val="auto"/>
                <w:sz w:val="20"/>
                <w:szCs w:val="20"/>
              </w:rPr>
              <w:t>Okna i drzwi – Trwałość mechaniczna  – Wymagania i klasyfikacja.</w:t>
            </w:r>
          </w:p>
        </w:tc>
      </w:tr>
      <w:tr w:rsidR="00D00A58" w:rsidRPr="00C0396F" w14:paraId="5FD1A9D3" w14:textId="77777777" w:rsidTr="00D52A61">
        <w:trPr>
          <w:trHeight w:val="562"/>
        </w:trPr>
        <w:tc>
          <w:tcPr>
            <w:tcW w:w="3261" w:type="dxa"/>
          </w:tcPr>
          <w:p w14:paraId="60C71BDA" w14:textId="77777777" w:rsidR="007F0A6F" w:rsidRPr="00C0396F" w:rsidRDefault="00B259FF">
            <w:pPr>
              <w:spacing w:after="0" w:line="259" w:lineRule="auto"/>
              <w:ind w:left="0" w:right="0" w:firstLine="0"/>
              <w:jc w:val="left"/>
              <w:rPr>
                <w:rFonts w:ascii="Lato" w:hAnsi="Lato" w:cs="Arial"/>
                <w:color w:val="auto"/>
                <w:sz w:val="20"/>
                <w:szCs w:val="20"/>
              </w:rPr>
            </w:pPr>
            <w:r w:rsidRPr="00C0396F">
              <w:rPr>
                <w:rFonts w:ascii="Lato" w:hAnsi="Lato" w:cs="Arial"/>
                <w:color w:val="auto"/>
                <w:sz w:val="20"/>
                <w:szCs w:val="20"/>
              </w:rPr>
              <w:t>21.PN-EN 12365-1:2006</w:t>
            </w:r>
          </w:p>
        </w:tc>
        <w:tc>
          <w:tcPr>
            <w:tcW w:w="5953" w:type="dxa"/>
          </w:tcPr>
          <w:p w14:paraId="5184698A" w14:textId="77777777" w:rsidR="007F0A6F" w:rsidRPr="00C0396F" w:rsidRDefault="00B259FF">
            <w:pPr>
              <w:spacing w:after="0" w:line="259" w:lineRule="auto"/>
              <w:ind w:left="0" w:right="1" w:firstLine="0"/>
              <w:rPr>
                <w:rFonts w:ascii="Lato" w:hAnsi="Lato" w:cs="Arial"/>
                <w:color w:val="auto"/>
                <w:sz w:val="20"/>
                <w:szCs w:val="20"/>
              </w:rPr>
            </w:pPr>
            <w:r w:rsidRPr="00C0396F">
              <w:rPr>
                <w:rFonts w:ascii="Lato" w:hAnsi="Lato" w:cs="Arial"/>
                <w:color w:val="auto"/>
                <w:sz w:val="20"/>
                <w:szCs w:val="20"/>
              </w:rPr>
              <w:t>Okucia budowlane – Uszczelki i taśmy uszczelniające do drzwi, okien, żaluzji i ścian osłonowych – Część 1: Wymagania eksploatacyjne i klasyfikacja.</w:t>
            </w:r>
          </w:p>
        </w:tc>
      </w:tr>
      <w:tr w:rsidR="00D00A58" w:rsidRPr="00C0396F" w14:paraId="371DFBF3" w14:textId="77777777" w:rsidTr="00D52A61">
        <w:trPr>
          <w:trHeight w:val="655"/>
        </w:trPr>
        <w:tc>
          <w:tcPr>
            <w:tcW w:w="3261" w:type="dxa"/>
          </w:tcPr>
          <w:p w14:paraId="096CE390" w14:textId="77777777" w:rsidR="007F0A6F" w:rsidRPr="00C0396F" w:rsidRDefault="00B259FF">
            <w:pPr>
              <w:spacing w:after="0" w:line="259" w:lineRule="auto"/>
              <w:ind w:left="0" w:right="0" w:firstLine="0"/>
              <w:jc w:val="left"/>
              <w:rPr>
                <w:rFonts w:ascii="Lato" w:hAnsi="Lato" w:cs="Arial"/>
                <w:color w:val="auto"/>
                <w:sz w:val="20"/>
                <w:szCs w:val="20"/>
              </w:rPr>
            </w:pPr>
            <w:r w:rsidRPr="00C0396F">
              <w:rPr>
                <w:rFonts w:ascii="Lato" w:hAnsi="Lato" w:cs="Arial"/>
                <w:color w:val="auto"/>
                <w:sz w:val="20"/>
                <w:szCs w:val="20"/>
              </w:rPr>
              <w:t>22.PN-EN 12365-2:2006</w:t>
            </w:r>
          </w:p>
        </w:tc>
        <w:tc>
          <w:tcPr>
            <w:tcW w:w="5953" w:type="dxa"/>
          </w:tcPr>
          <w:p w14:paraId="3162D1F9" w14:textId="77777777" w:rsidR="007F0A6F" w:rsidRPr="00C0396F" w:rsidRDefault="00B259FF">
            <w:pPr>
              <w:spacing w:after="0" w:line="259" w:lineRule="auto"/>
              <w:ind w:left="0" w:right="1" w:firstLine="0"/>
              <w:rPr>
                <w:rFonts w:ascii="Lato" w:hAnsi="Lato" w:cs="Arial"/>
                <w:color w:val="auto"/>
                <w:sz w:val="20"/>
                <w:szCs w:val="20"/>
              </w:rPr>
            </w:pPr>
            <w:r w:rsidRPr="00C0396F">
              <w:rPr>
                <w:rFonts w:ascii="Lato" w:hAnsi="Lato" w:cs="Arial"/>
                <w:color w:val="auto"/>
                <w:sz w:val="20"/>
                <w:szCs w:val="20"/>
              </w:rPr>
              <w:t>Okucia budowlane – Uszczelki i taśmy uszczelniające do drzwi, okien, żaluzji i ścian osłonowych – Część 2: Metoda badania liniowej siły ściskającej.</w:t>
            </w:r>
          </w:p>
        </w:tc>
      </w:tr>
      <w:tr w:rsidR="00D00A58" w:rsidRPr="00C0396F" w14:paraId="7BCCB612" w14:textId="77777777" w:rsidTr="00D52A61">
        <w:trPr>
          <w:trHeight w:val="707"/>
        </w:trPr>
        <w:tc>
          <w:tcPr>
            <w:tcW w:w="3261" w:type="dxa"/>
          </w:tcPr>
          <w:p w14:paraId="14575F7D" w14:textId="77777777" w:rsidR="007F0A6F" w:rsidRPr="00C0396F" w:rsidRDefault="00B259FF">
            <w:pPr>
              <w:spacing w:after="0" w:line="259" w:lineRule="auto"/>
              <w:ind w:left="0" w:right="0" w:firstLine="0"/>
              <w:jc w:val="left"/>
              <w:rPr>
                <w:rFonts w:ascii="Lato" w:hAnsi="Lato" w:cs="Arial"/>
                <w:color w:val="auto"/>
                <w:sz w:val="20"/>
                <w:szCs w:val="20"/>
              </w:rPr>
            </w:pPr>
            <w:r w:rsidRPr="00C0396F">
              <w:rPr>
                <w:rFonts w:ascii="Lato" w:hAnsi="Lato" w:cs="Arial"/>
                <w:color w:val="auto"/>
                <w:sz w:val="20"/>
                <w:szCs w:val="20"/>
              </w:rPr>
              <w:t>23.PN-EN 12365-3:2006</w:t>
            </w:r>
          </w:p>
        </w:tc>
        <w:tc>
          <w:tcPr>
            <w:tcW w:w="5953" w:type="dxa"/>
          </w:tcPr>
          <w:p w14:paraId="76F6F973" w14:textId="77888EC5" w:rsidR="007F0A6F" w:rsidRPr="00C0396F" w:rsidRDefault="00B259FF">
            <w:pPr>
              <w:spacing w:after="0" w:line="259" w:lineRule="auto"/>
              <w:ind w:left="0" w:right="1" w:firstLine="0"/>
              <w:rPr>
                <w:rFonts w:ascii="Lato" w:hAnsi="Lato" w:cs="Arial"/>
                <w:color w:val="auto"/>
                <w:sz w:val="20"/>
                <w:szCs w:val="20"/>
              </w:rPr>
            </w:pPr>
            <w:r w:rsidRPr="00C0396F">
              <w:rPr>
                <w:rFonts w:ascii="Lato" w:hAnsi="Lato" w:cs="Arial"/>
                <w:color w:val="auto"/>
                <w:sz w:val="20"/>
                <w:szCs w:val="20"/>
              </w:rPr>
              <w:t>Okucia budowlane – Uszczelki i taśmy uszczelniające do drzwi, okien, żaluzji i ścian osłonowych – Część 3: Metoda badania powrotu po</w:t>
            </w:r>
            <w:r w:rsidR="00DF34D6" w:rsidRPr="00C0396F">
              <w:rPr>
                <w:rFonts w:ascii="Lato" w:hAnsi="Lato" w:cs="Arial"/>
                <w:color w:val="auto"/>
                <w:sz w:val="20"/>
                <w:szCs w:val="20"/>
              </w:rPr>
              <w:t xml:space="preserve"> </w:t>
            </w:r>
            <w:r w:rsidRPr="00C0396F">
              <w:rPr>
                <w:rFonts w:ascii="Lato" w:hAnsi="Lato" w:cs="Arial"/>
                <w:color w:val="auto"/>
                <w:sz w:val="20"/>
                <w:szCs w:val="20"/>
              </w:rPr>
              <w:t>odkształceniowego.</w:t>
            </w:r>
          </w:p>
        </w:tc>
      </w:tr>
      <w:tr w:rsidR="00D00A58" w:rsidRPr="00C0396F" w14:paraId="1CE06021" w14:textId="77777777" w:rsidTr="00D52A61">
        <w:trPr>
          <w:trHeight w:val="704"/>
        </w:trPr>
        <w:tc>
          <w:tcPr>
            <w:tcW w:w="3261" w:type="dxa"/>
          </w:tcPr>
          <w:p w14:paraId="7771D622" w14:textId="77777777" w:rsidR="007F0A6F" w:rsidRPr="00C0396F" w:rsidRDefault="00B259FF">
            <w:pPr>
              <w:spacing w:after="0" w:line="259" w:lineRule="auto"/>
              <w:ind w:left="0" w:right="0" w:firstLine="0"/>
              <w:jc w:val="left"/>
              <w:rPr>
                <w:rFonts w:ascii="Lato" w:hAnsi="Lato" w:cs="Arial"/>
                <w:color w:val="auto"/>
                <w:sz w:val="20"/>
                <w:szCs w:val="20"/>
              </w:rPr>
            </w:pPr>
            <w:r w:rsidRPr="00C0396F">
              <w:rPr>
                <w:rFonts w:ascii="Lato" w:hAnsi="Lato" w:cs="Arial"/>
                <w:color w:val="auto"/>
                <w:sz w:val="20"/>
                <w:szCs w:val="20"/>
              </w:rPr>
              <w:t>24.PN-EN 12365-4:2006</w:t>
            </w:r>
          </w:p>
        </w:tc>
        <w:tc>
          <w:tcPr>
            <w:tcW w:w="5953" w:type="dxa"/>
          </w:tcPr>
          <w:p w14:paraId="6530D175" w14:textId="4CDA2210" w:rsidR="007F0A6F" w:rsidRPr="00C0396F" w:rsidRDefault="00B259FF">
            <w:pPr>
              <w:spacing w:after="0" w:line="259" w:lineRule="auto"/>
              <w:ind w:left="0" w:right="1" w:firstLine="0"/>
              <w:rPr>
                <w:rFonts w:ascii="Lato" w:hAnsi="Lato" w:cs="Arial"/>
                <w:color w:val="auto"/>
                <w:sz w:val="20"/>
                <w:szCs w:val="20"/>
              </w:rPr>
            </w:pPr>
            <w:r w:rsidRPr="00C0396F">
              <w:rPr>
                <w:rFonts w:ascii="Lato" w:hAnsi="Lato" w:cs="Arial"/>
                <w:color w:val="auto"/>
                <w:sz w:val="20"/>
                <w:szCs w:val="20"/>
              </w:rPr>
              <w:t>Okucia budowlane – Uszczelki i taśmy uszczelniające do drzwi, okien, żaluzji i ścian osłonowych – Część 4: Metoda badania powrotu po</w:t>
            </w:r>
            <w:r w:rsidR="00DF34D6" w:rsidRPr="00C0396F">
              <w:rPr>
                <w:rFonts w:ascii="Lato" w:hAnsi="Lato" w:cs="Arial"/>
                <w:color w:val="auto"/>
                <w:sz w:val="20"/>
                <w:szCs w:val="20"/>
              </w:rPr>
              <w:t xml:space="preserve"> </w:t>
            </w:r>
            <w:r w:rsidRPr="00C0396F">
              <w:rPr>
                <w:rFonts w:ascii="Lato" w:hAnsi="Lato" w:cs="Arial"/>
                <w:color w:val="auto"/>
                <w:sz w:val="20"/>
                <w:szCs w:val="20"/>
              </w:rPr>
              <w:t>odkształceniowego po przyspieszonym starzeniu.</w:t>
            </w:r>
          </w:p>
        </w:tc>
      </w:tr>
      <w:tr w:rsidR="00D00A58" w:rsidRPr="00C0396F" w14:paraId="72949483" w14:textId="77777777" w:rsidTr="00D52A61">
        <w:trPr>
          <w:trHeight w:val="842"/>
        </w:trPr>
        <w:tc>
          <w:tcPr>
            <w:tcW w:w="3261" w:type="dxa"/>
          </w:tcPr>
          <w:p w14:paraId="66D497AB" w14:textId="77777777" w:rsidR="007F0A6F" w:rsidRPr="00C0396F" w:rsidRDefault="00B259FF">
            <w:pPr>
              <w:spacing w:after="0" w:line="259" w:lineRule="auto"/>
              <w:ind w:left="0" w:right="0" w:firstLine="0"/>
              <w:jc w:val="left"/>
              <w:rPr>
                <w:rFonts w:ascii="Lato" w:hAnsi="Lato" w:cs="Arial"/>
                <w:color w:val="auto"/>
                <w:sz w:val="20"/>
                <w:szCs w:val="20"/>
                <w:lang w:val="en-US"/>
              </w:rPr>
            </w:pPr>
            <w:r w:rsidRPr="00C0396F">
              <w:rPr>
                <w:rFonts w:ascii="Lato" w:hAnsi="Lato" w:cs="Arial"/>
                <w:color w:val="auto"/>
                <w:sz w:val="20"/>
                <w:szCs w:val="20"/>
                <w:lang w:val="en-US"/>
              </w:rPr>
              <w:t xml:space="preserve">25.PN-EN ISO 12567-1:2010 </w:t>
            </w:r>
          </w:p>
          <w:p w14:paraId="04CB787B" w14:textId="77777777" w:rsidR="007F0A6F" w:rsidRPr="00C0396F" w:rsidRDefault="00B259FF" w:rsidP="00DF34D6">
            <w:pPr>
              <w:spacing w:after="0" w:line="259" w:lineRule="auto"/>
              <w:ind w:left="0" w:right="43" w:firstLine="0"/>
              <w:jc w:val="left"/>
              <w:rPr>
                <w:rFonts w:ascii="Lato" w:hAnsi="Lato" w:cs="Arial"/>
                <w:color w:val="auto"/>
                <w:sz w:val="20"/>
                <w:szCs w:val="20"/>
                <w:lang w:val="en-US"/>
              </w:rPr>
            </w:pPr>
            <w:r w:rsidRPr="00C0396F">
              <w:rPr>
                <w:rFonts w:ascii="Lato" w:hAnsi="Lato" w:cs="Arial"/>
                <w:color w:val="auto"/>
                <w:sz w:val="20"/>
                <w:szCs w:val="20"/>
                <w:lang w:val="en-US"/>
              </w:rPr>
              <w:t>PN-EN ISO 12567-1:2010/AC:2010</w:t>
            </w:r>
          </w:p>
        </w:tc>
        <w:tc>
          <w:tcPr>
            <w:tcW w:w="5953" w:type="dxa"/>
          </w:tcPr>
          <w:p w14:paraId="0CD9B5BE" w14:textId="77777777" w:rsidR="007F0A6F" w:rsidRPr="00C0396F" w:rsidRDefault="00B259FF">
            <w:pPr>
              <w:spacing w:after="8" w:line="220" w:lineRule="auto"/>
              <w:ind w:left="0" w:right="0" w:firstLine="0"/>
              <w:rPr>
                <w:rFonts w:ascii="Lato" w:hAnsi="Lato" w:cs="Arial"/>
                <w:color w:val="auto"/>
                <w:sz w:val="20"/>
                <w:szCs w:val="20"/>
              </w:rPr>
            </w:pPr>
            <w:r w:rsidRPr="00C0396F">
              <w:rPr>
                <w:rFonts w:ascii="Lato" w:hAnsi="Lato" w:cs="Arial"/>
                <w:color w:val="auto"/>
                <w:sz w:val="20"/>
                <w:szCs w:val="20"/>
              </w:rPr>
              <w:t>Cieplne właściwości użytkowe okien i drzwi – Określanie współczynnika przenikania ciepła metodą skrzynki grzejnej – Część 1:</w:t>
            </w:r>
          </w:p>
          <w:p w14:paraId="171DF033" w14:textId="77777777" w:rsidR="007F0A6F" w:rsidRPr="00C0396F" w:rsidRDefault="00B259FF">
            <w:pPr>
              <w:spacing w:after="0" w:line="259" w:lineRule="auto"/>
              <w:ind w:left="0" w:right="0" w:firstLine="0"/>
              <w:jc w:val="left"/>
              <w:rPr>
                <w:rFonts w:ascii="Lato" w:hAnsi="Lato" w:cs="Arial"/>
                <w:color w:val="auto"/>
                <w:sz w:val="20"/>
                <w:szCs w:val="20"/>
              </w:rPr>
            </w:pPr>
            <w:r w:rsidRPr="00C0396F">
              <w:rPr>
                <w:rFonts w:ascii="Lato" w:hAnsi="Lato" w:cs="Arial"/>
                <w:color w:val="auto"/>
                <w:sz w:val="20"/>
                <w:szCs w:val="20"/>
              </w:rPr>
              <w:t>Kompletne okna i drzwi (oryg.).</w:t>
            </w:r>
          </w:p>
        </w:tc>
      </w:tr>
      <w:tr w:rsidR="00D00A58" w:rsidRPr="00C0396F" w14:paraId="68F2DD5A" w14:textId="77777777" w:rsidTr="00D52A61">
        <w:trPr>
          <w:trHeight w:val="697"/>
        </w:trPr>
        <w:tc>
          <w:tcPr>
            <w:tcW w:w="3261" w:type="dxa"/>
          </w:tcPr>
          <w:p w14:paraId="49126A70" w14:textId="77777777" w:rsidR="007F0A6F" w:rsidRPr="00C0396F" w:rsidRDefault="00B259FF">
            <w:pPr>
              <w:spacing w:after="0" w:line="259" w:lineRule="auto"/>
              <w:ind w:left="0" w:right="0" w:firstLine="0"/>
              <w:jc w:val="left"/>
              <w:rPr>
                <w:rFonts w:ascii="Lato" w:hAnsi="Lato" w:cs="Arial"/>
                <w:color w:val="auto"/>
                <w:sz w:val="20"/>
                <w:szCs w:val="20"/>
              </w:rPr>
            </w:pPr>
            <w:r w:rsidRPr="00C0396F">
              <w:rPr>
                <w:rFonts w:ascii="Lato" w:hAnsi="Lato" w:cs="Arial"/>
                <w:color w:val="auto"/>
                <w:sz w:val="20"/>
                <w:szCs w:val="20"/>
              </w:rPr>
              <w:t>26.PN-EN ISO 12567-2:2006</w:t>
            </w:r>
          </w:p>
        </w:tc>
        <w:tc>
          <w:tcPr>
            <w:tcW w:w="5953" w:type="dxa"/>
          </w:tcPr>
          <w:p w14:paraId="628A2679" w14:textId="77777777" w:rsidR="007F0A6F" w:rsidRPr="00C0396F" w:rsidRDefault="00B259FF">
            <w:pPr>
              <w:spacing w:after="0" w:line="259" w:lineRule="auto"/>
              <w:ind w:left="0" w:right="0" w:firstLine="0"/>
              <w:rPr>
                <w:rFonts w:ascii="Lato" w:hAnsi="Lato" w:cs="Arial"/>
                <w:color w:val="auto"/>
                <w:sz w:val="20"/>
                <w:szCs w:val="20"/>
              </w:rPr>
            </w:pPr>
            <w:r w:rsidRPr="00C0396F">
              <w:rPr>
                <w:rFonts w:ascii="Lato" w:hAnsi="Lato" w:cs="Arial"/>
                <w:color w:val="auto"/>
                <w:sz w:val="20"/>
                <w:szCs w:val="20"/>
              </w:rPr>
              <w:t>Cieplne właściwości użytkowe okien i drzwi – Określanie współczynnika przenikania ciepła metodą skrzynki grzejnej – Część 2: Okna dachowe i inne okna wystające z płaszczyzny.</w:t>
            </w:r>
          </w:p>
        </w:tc>
      </w:tr>
      <w:tr w:rsidR="00D00A58" w:rsidRPr="00C0396F" w14:paraId="50845182" w14:textId="77777777" w:rsidTr="00D52A61">
        <w:trPr>
          <w:trHeight w:val="410"/>
        </w:trPr>
        <w:tc>
          <w:tcPr>
            <w:tcW w:w="3261" w:type="dxa"/>
          </w:tcPr>
          <w:p w14:paraId="4822A707" w14:textId="77777777" w:rsidR="007F0A6F" w:rsidRPr="00C0396F" w:rsidRDefault="00B259FF">
            <w:pPr>
              <w:spacing w:after="0" w:line="259" w:lineRule="auto"/>
              <w:ind w:left="0" w:right="0" w:firstLine="0"/>
              <w:jc w:val="left"/>
              <w:rPr>
                <w:rFonts w:ascii="Lato" w:hAnsi="Lato" w:cs="Arial"/>
                <w:color w:val="auto"/>
                <w:sz w:val="20"/>
                <w:szCs w:val="20"/>
              </w:rPr>
            </w:pPr>
            <w:r w:rsidRPr="00C0396F">
              <w:rPr>
                <w:rFonts w:ascii="Lato" w:hAnsi="Lato" w:cs="Arial"/>
                <w:color w:val="auto"/>
                <w:sz w:val="20"/>
                <w:szCs w:val="20"/>
              </w:rPr>
              <w:t>27.PN-EN 13049:2004</w:t>
            </w:r>
          </w:p>
        </w:tc>
        <w:tc>
          <w:tcPr>
            <w:tcW w:w="5953" w:type="dxa"/>
          </w:tcPr>
          <w:p w14:paraId="746E8F82" w14:textId="77777777" w:rsidR="007F0A6F" w:rsidRPr="00C0396F" w:rsidRDefault="00B259FF">
            <w:pPr>
              <w:spacing w:after="0" w:line="259" w:lineRule="auto"/>
              <w:ind w:left="0" w:right="1" w:firstLine="0"/>
              <w:rPr>
                <w:rFonts w:ascii="Lato" w:hAnsi="Lato" w:cs="Arial"/>
                <w:color w:val="auto"/>
                <w:sz w:val="20"/>
                <w:szCs w:val="20"/>
              </w:rPr>
            </w:pPr>
            <w:r w:rsidRPr="00C0396F">
              <w:rPr>
                <w:rFonts w:ascii="Lato" w:hAnsi="Lato" w:cs="Arial"/>
                <w:color w:val="auto"/>
                <w:sz w:val="20"/>
                <w:szCs w:val="20"/>
              </w:rPr>
              <w:t>Okna – Uderzenie ciałem miękkim i ciężkim – Metoda badania, wymagania dotyczące bezpieczeństwa i klasyfikacja.</w:t>
            </w:r>
          </w:p>
        </w:tc>
      </w:tr>
      <w:tr w:rsidR="00D00A58" w:rsidRPr="00C0396F" w14:paraId="00E8CF60" w14:textId="77777777" w:rsidTr="00D52A61">
        <w:trPr>
          <w:trHeight w:val="416"/>
        </w:trPr>
        <w:tc>
          <w:tcPr>
            <w:tcW w:w="3261" w:type="dxa"/>
          </w:tcPr>
          <w:p w14:paraId="7F37B5A0" w14:textId="77777777" w:rsidR="007F0A6F" w:rsidRPr="00C0396F" w:rsidRDefault="00B259FF">
            <w:pPr>
              <w:spacing w:after="0" w:line="259" w:lineRule="auto"/>
              <w:ind w:left="0" w:right="0" w:firstLine="0"/>
              <w:jc w:val="left"/>
              <w:rPr>
                <w:rFonts w:ascii="Lato" w:hAnsi="Lato" w:cs="Arial"/>
                <w:color w:val="auto"/>
                <w:sz w:val="20"/>
                <w:szCs w:val="20"/>
              </w:rPr>
            </w:pPr>
            <w:r w:rsidRPr="00C0396F">
              <w:rPr>
                <w:rFonts w:ascii="Lato" w:hAnsi="Lato" w:cs="Arial"/>
                <w:color w:val="auto"/>
                <w:sz w:val="20"/>
                <w:szCs w:val="20"/>
              </w:rPr>
              <w:t>28.PN-EN 13115:2002</w:t>
            </w:r>
          </w:p>
        </w:tc>
        <w:tc>
          <w:tcPr>
            <w:tcW w:w="5953" w:type="dxa"/>
          </w:tcPr>
          <w:p w14:paraId="173FAD52" w14:textId="77777777" w:rsidR="007F0A6F" w:rsidRPr="00C0396F" w:rsidRDefault="00B259FF">
            <w:pPr>
              <w:spacing w:after="0" w:line="259" w:lineRule="auto"/>
              <w:ind w:left="0" w:right="1" w:firstLine="0"/>
              <w:rPr>
                <w:rFonts w:ascii="Lato" w:hAnsi="Lato" w:cs="Arial"/>
                <w:color w:val="auto"/>
                <w:sz w:val="20"/>
                <w:szCs w:val="20"/>
              </w:rPr>
            </w:pPr>
            <w:r w:rsidRPr="00C0396F">
              <w:rPr>
                <w:rFonts w:ascii="Lato" w:hAnsi="Lato" w:cs="Arial"/>
                <w:color w:val="auto"/>
                <w:sz w:val="20"/>
                <w:szCs w:val="20"/>
              </w:rPr>
              <w:t>Okna – Klasyfikacja właściwości mechanicznych – Obciążenia pionowe, zwichrowanie i siły operacyjne.</w:t>
            </w:r>
          </w:p>
        </w:tc>
      </w:tr>
      <w:tr w:rsidR="00D00A58" w:rsidRPr="00C0396F" w14:paraId="5CBDC3E3" w14:textId="77777777" w:rsidTr="00D52A61">
        <w:trPr>
          <w:trHeight w:val="408"/>
        </w:trPr>
        <w:tc>
          <w:tcPr>
            <w:tcW w:w="3261" w:type="dxa"/>
          </w:tcPr>
          <w:p w14:paraId="7E684C45" w14:textId="77777777" w:rsidR="007F0A6F" w:rsidRPr="00C0396F" w:rsidRDefault="00B259FF">
            <w:pPr>
              <w:spacing w:after="0" w:line="259" w:lineRule="auto"/>
              <w:ind w:left="0" w:right="0" w:firstLine="0"/>
              <w:jc w:val="left"/>
              <w:rPr>
                <w:rFonts w:ascii="Lato" w:hAnsi="Lato" w:cs="Arial"/>
                <w:color w:val="auto"/>
                <w:sz w:val="20"/>
                <w:szCs w:val="20"/>
              </w:rPr>
            </w:pPr>
            <w:r w:rsidRPr="00C0396F">
              <w:rPr>
                <w:rFonts w:ascii="Lato" w:hAnsi="Lato" w:cs="Arial"/>
                <w:color w:val="auto"/>
                <w:sz w:val="20"/>
                <w:szCs w:val="20"/>
              </w:rPr>
              <w:t>29.PN-EN 13123-1:2002</w:t>
            </w:r>
          </w:p>
        </w:tc>
        <w:tc>
          <w:tcPr>
            <w:tcW w:w="5953" w:type="dxa"/>
          </w:tcPr>
          <w:p w14:paraId="0242EE54" w14:textId="77777777" w:rsidR="007F0A6F" w:rsidRPr="00C0396F" w:rsidRDefault="00B259FF">
            <w:pPr>
              <w:spacing w:after="0" w:line="259" w:lineRule="auto"/>
              <w:ind w:left="0" w:right="0" w:firstLine="0"/>
              <w:jc w:val="left"/>
              <w:rPr>
                <w:rFonts w:ascii="Lato" w:hAnsi="Lato" w:cs="Arial"/>
                <w:color w:val="auto"/>
                <w:sz w:val="20"/>
                <w:szCs w:val="20"/>
              </w:rPr>
            </w:pPr>
            <w:r w:rsidRPr="00C0396F">
              <w:rPr>
                <w:rFonts w:ascii="Lato" w:hAnsi="Lato" w:cs="Arial"/>
                <w:color w:val="auto"/>
                <w:sz w:val="20"/>
                <w:szCs w:val="20"/>
              </w:rPr>
              <w:t>Okna, drzwi i żaluzje – Odporność na wybuch – Wymagania i klasyfikacja – Część 1: Rura uderzeniowa (oryg.).</w:t>
            </w:r>
          </w:p>
        </w:tc>
      </w:tr>
      <w:tr w:rsidR="00D00A58" w:rsidRPr="00C0396F" w14:paraId="392D2E67" w14:textId="77777777" w:rsidTr="00D52A61">
        <w:trPr>
          <w:trHeight w:val="428"/>
        </w:trPr>
        <w:tc>
          <w:tcPr>
            <w:tcW w:w="3261" w:type="dxa"/>
          </w:tcPr>
          <w:p w14:paraId="7710BE38" w14:textId="77777777" w:rsidR="007F0A6F" w:rsidRPr="00C0396F" w:rsidRDefault="00B259FF">
            <w:pPr>
              <w:spacing w:after="0" w:line="259" w:lineRule="auto"/>
              <w:ind w:left="0" w:right="0" w:firstLine="0"/>
              <w:jc w:val="left"/>
              <w:rPr>
                <w:rFonts w:ascii="Lato" w:hAnsi="Lato" w:cs="Arial"/>
                <w:color w:val="auto"/>
                <w:sz w:val="20"/>
                <w:szCs w:val="20"/>
              </w:rPr>
            </w:pPr>
            <w:r w:rsidRPr="00C0396F">
              <w:rPr>
                <w:rFonts w:ascii="Lato" w:hAnsi="Lato" w:cs="Arial"/>
                <w:color w:val="auto"/>
                <w:sz w:val="20"/>
                <w:szCs w:val="20"/>
              </w:rPr>
              <w:t>30.PN-EN 13123-2:2004</w:t>
            </w:r>
          </w:p>
        </w:tc>
        <w:tc>
          <w:tcPr>
            <w:tcW w:w="5953" w:type="dxa"/>
          </w:tcPr>
          <w:p w14:paraId="585E6A9F" w14:textId="77777777" w:rsidR="007F0A6F" w:rsidRPr="00C0396F" w:rsidRDefault="00B259FF">
            <w:pPr>
              <w:spacing w:after="0" w:line="259" w:lineRule="auto"/>
              <w:ind w:left="0" w:right="1" w:firstLine="0"/>
              <w:rPr>
                <w:rFonts w:ascii="Lato" w:hAnsi="Lato" w:cs="Arial"/>
                <w:color w:val="auto"/>
                <w:sz w:val="20"/>
                <w:szCs w:val="20"/>
              </w:rPr>
            </w:pPr>
            <w:r w:rsidRPr="00C0396F">
              <w:rPr>
                <w:rFonts w:ascii="Lato" w:hAnsi="Lato" w:cs="Arial"/>
                <w:color w:val="auto"/>
                <w:sz w:val="20"/>
                <w:szCs w:val="20"/>
              </w:rPr>
              <w:t>Okna, drzwi i żaluzje – Odporność na wybuch – Metoda badania – Część 2: Próba poligonowa (oryg.).</w:t>
            </w:r>
          </w:p>
        </w:tc>
      </w:tr>
      <w:tr w:rsidR="00D00A58" w:rsidRPr="00C0396F" w14:paraId="0068765E" w14:textId="77777777" w:rsidTr="00D52A61">
        <w:trPr>
          <w:trHeight w:val="548"/>
        </w:trPr>
        <w:tc>
          <w:tcPr>
            <w:tcW w:w="3261" w:type="dxa"/>
          </w:tcPr>
          <w:p w14:paraId="1559FAB0" w14:textId="77777777" w:rsidR="007F0A6F" w:rsidRPr="00C0396F" w:rsidRDefault="00B259FF">
            <w:pPr>
              <w:spacing w:after="0" w:line="259" w:lineRule="auto"/>
              <w:ind w:left="0" w:right="0" w:firstLine="0"/>
              <w:jc w:val="left"/>
              <w:rPr>
                <w:rFonts w:ascii="Lato" w:hAnsi="Lato" w:cs="Arial"/>
                <w:color w:val="auto"/>
                <w:sz w:val="20"/>
                <w:szCs w:val="20"/>
              </w:rPr>
            </w:pPr>
            <w:r w:rsidRPr="00C0396F">
              <w:rPr>
                <w:rFonts w:ascii="Lato" w:hAnsi="Lato" w:cs="Arial"/>
                <w:color w:val="auto"/>
                <w:sz w:val="20"/>
                <w:szCs w:val="20"/>
              </w:rPr>
              <w:t>31.PN-EN 13124-1:2002</w:t>
            </w:r>
          </w:p>
        </w:tc>
        <w:tc>
          <w:tcPr>
            <w:tcW w:w="5953" w:type="dxa"/>
          </w:tcPr>
          <w:p w14:paraId="37F3008A" w14:textId="6D9F9AC9" w:rsidR="0057252B" w:rsidRPr="00C0396F" w:rsidRDefault="00B259FF">
            <w:pPr>
              <w:spacing w:after="0" w:line="259" w:lineRule="auto"/>
              <w:ind w:left="0" w:right="1" w:firstLine="0"/>
              <w:rPr>
                <w:rFonts w:ascii="Lato" w:hAnsi="Lato" w:cs="Arial"/>
                <w:color w:val="auto"/>
                <w:sz w:val="20"/>
                <w:szCs w:val="20"/>
              </w:rPr>
            </w:pPr>
            <w:r w:rsidRPr="00C0396F">
              <w:rPr>
                <w:rFonts w:ascii="Lato" w:hAnsi="Lato" w:cs="Arial"/>
                <w:color w:val="auto"/>
                <w:sz w:val="20"/>
                <w:szCs w:val="20"/>
              </w:rPr>
              <w:t>Okna, drzwi i żaluzje – Odporność na wybuch – Metoda badania – Część 1: Rura uderzeniowa (oryg.).</w:t>
            </w:r>
          </w:p>
        </w:tc>
      </w:tr>
      <w:tr w:rsidR="00D00A58" w:rsidRPr="00C0396F" w14:paraId="20BCF026" w14:textId="77777777" w:rsidTr="00D52A61">
        <w:trPr>
          <w:trHeight w:val="414"/>
        </w:trPr>
        <w:tc>
          <w:tcPr>
            <w:tcW w:w="3261" w:type="dxa"/>
          </w:tcPr>
          <w:p w14:paraId="2885B0C7" w14:textId="71408F4D" w:rsidR="0057252B" w:rsidRPr="00C0396F" w:rsidRDefault="0057252B">
            <w:pPr>
              <w:spacing w:after="0" w:line="259" w:lineRule="auto"/>
              <w:ind w:left="0" w:right="0" w:firstLine="0"/>
              <w:jc w:val="left"/>
              <w:rPr>
                <w:rFonts w:ascii="Lato" w:hAnsi="Lato" w:cs="Arial"/>
                <w:color w:val="auto"/>
                <w:sz w:val="20"/>
                <w:szCs w:val="20"/>
              </w:rPr>
            </w:pPr>
            <w:r w:rsidRPr="00C0396F">
              <w:rPr>
                <w:rFonts w:ascii="Lato" w:hAnsi="Lato" w:cs="Arial"/>
                <w:color w:val="auto"/>
                <w:sz w:val="20"/>
                <w:szCs w:val="20"/>
              </w:rPr>
              <w:t xml:space="preserve">32.PN-EN 13124-2:2004                                                            </w:t>
            </w:r>
          </w:p>
        </w:tc>
        <w:tc>
          <w:tcPr>
            <w:tcW w:w="5953" w:type="dxa"/>
          </w:tcPr>
          <w:p w14:paraId="7A6E283C" w14:textId="6708CBB7" w:rsidR="0057252B" w:rsidRPr="00C0396F" w:rsidRDefault="0057252B" w:rsidP="0057252B">
            <w:pPr>
              <w:spacing w:after="38"/>
              <w:ind w:left="0" w:right="0"/>
              <w:jc w:val="left"/>
              <w:rPr>
                <w:rFonts w:ascii="Lato" w:hAnsi="Lato" w:cs="Arial"/>
                <w:color w:val="auto"/>
                <w:sz w:val="20"/>
                <w:szCs w:val="20"/>
              </w:rPr>
            </w:pPr>
            <w:r w:rsidRPr="00C0396F">
              <w:rPr>
                <w:rFonts w:ascii="Lato" w:hAnsi="Lato" w:cs="Arial"/>
                <w:color w:val="auto"/>
                <w:sz w:val="20"/>
                <w:szCs w:val="20"/>
              </w:rPr>
              <w:t>Okna, drzwi i żaluzje – Odporność na wybuch – Metoda badania – Część 2: Próba poligonowa (oryg.).</w:t>
            </w:r>
          </w:p>
          <w:p w14:paraId="2BDB8CFF" w14:textId="77777777" w:rsidR="0057252B" w:rsidRPr="00C0396F" w:rsidRDefault="0057252B">
            <w:pPr>
              <w:spacing w:after="0" w:line="259" w:lineRule="auto"/>
              <w:ind w:left="0" w:right="1" w:firstLine="0"/>
              <w:rPr>
                <w:rFonts w:ascii="Lato" w:hAnsi="Lato" w:cs="Arial"/>
                <w:color w:val="auto"/>
                <w:sz w:val="20"/>
                <w:szCs w:val="20"/>
              </w:rPr>
            </w:pPr>
          </w:p>
        </w:tc>
      </w:tr>
      <w:tr w:rsidR="00D00A58" w:rsidRPr="00C0396F" w14:paraId="44077981" w14:textId="77777777" w:rsidTr="00D52A61">
        <w:trPr>
          <w:trHeight w:val="548"/>
        </w:trPr>
        <w:tc>
          <w:tcPr>
            <w:tcW w:w="3261" w:type="dxa"/>
          </w:tcPr>
          <w:p w14:paraId="19C8E4BE" w14:textId="711EEABA" w:rsidR="0057252B" w:rsidRPr="00C0396F" w:rsidRDefault="0057252B">
            <w:pPr>
              <w:spacing w:after="0" w:line="259" w:lineRule="auto"/>
              <w:ind w:left="0" w:right="0" w:firstLine="0"/>
              <w:jc w:val="left"/>
              <w:rPr>
                <w:rFonts w:ascii="Lato" w:hAnsi="Lato" w:cs="Arial"/>
                <w:color w:val="auto"/>
                <w:sz w:val="20"/>
                <w:szCs w:val="20"/>
              </w:rPr>
            </w:pPr>
            <w:r w:rsidRPr="00C0396F">
              <w:rPr>
                <w:rFonts w:ascii="Lato" w:hAnsi="Lato" w:cs="Arial"/>
                <w:color w:val="auto"/>
                <w:sz w:val="20"/>
                <w:szCs w:val="20"/>
              </w:rPr>
              <w:t>33.PN-EN 13141-1:2006</w:t>
            </w:r>
          </w:p>
        </w:tc>
        <w:tc>
          <w:tcPr>
            <w:tcW w:w="5953" w:type="dxa"/>
          </w:tcPr>
          <w:p w14:paraId="4AFC16E7" w14:textId="61E0A20C" w:rsidR="0057252B" w:rsidRPr="00C0396F" w:rsidRDefault="0057252B" w:rsidP="0057252B">
            <w:pPr>
              <w:spacing w:after="38"/>
              <w:ind w:left="0" w:right="0"/>
              <w:jc w:val="left"/>
              <w:rPr>
                <w:rFonts w:ascii="Lato" w:hAnsi="Lato" w:cs="Arial"/>
                <w:color w:val="auto"/>
                <w:sz w:val="20"/>
                <w:szCs w:val="20"/>
              </w:rPr>
            </w:pPr>
            <w:r w:rsidRPr="00C0396F">
              <w:rPr>
                <w:rFonts w:ascii="Lato" w:hAnsi="Lato" w:cs="Arial"/>
                <w:color w:val="auto"/>
                <w:sz w:val="20"/>
                <w:szCs w:val="20"/>
              </w:rPr>
              <w:t>Wentylacja</w:t>
            </w:r>
            <w:r w:rsidRPr="00C0396F">
              <w:rPr>
                <w:rFonts w:ascii="Lato" w:hAnsi="Lato" w:cs="Arial"/>
                <w:color w:val="auto"/>
                <w:sz w:val="20"/>
                <w:szCs w:val="20"/>
              </w:rPr>
              <w:tab/>
              <w:t xml:space="preserve"> budynków</w:t>
            </w:r>
            <w:r w:rsidRPr="00C0396F">
              <w:rPr>
                <w:rFonts w:ascii="Lato" w:hAnsi="Lato" w:cs="Arial"/>
                <w:color w:val="auto"/>
                <w:sz w:val="20"/>
                <w:szCs w:val="20"/>
              </w:rPr>
              <w:tab/>
              <w:t xml:space="preserve"> –</w:t>
            </w:r>
            <w:r w:rsidRPr="00C0396F">
              <w:rPr>
                <w:rFonts w:ascii="Lato" w:hAnsi="Lato" w:cs="Arial"/>
                <w:color w:val="auto"/>
                <w:sz w:val="20"/>
                <w:szCs w:val="20"/>
              </w:rPr>
              <w:tab/>
              <w:t xml:space="preserve"> Badanie właściwości</w:t>
            </w:r>
            <w:r w:rsidRPr="00C0396F">
              <w:rPr>
                <w:rFonts w:ascii="Lato" w:hAnsi="Lato" w:cs="Arial"/>
                <w:color w:val="auto"/>
                <w:sz w:val="20"/>
                <w:szCs w:val="20"/>
              </w:rPr>
              <w:tab/>
              <w:t xml:space="preserve"> elementów/wyrobów</w:t>
            </w:r>
            <w:r w:rsidRPr="00C0396F">
              <w:rPr>
                <w:rFonts w:ascii="Lato" w:hAnsi="Lato" w:cs="Arial"/>
                <w:color w:val="auto"/>
                <w:sz w:val="20"/>
                <w:szCs w:val="20"/>
              </w:rPr>
              <w:tab/>
              <w:t xml:space="preserve"> do wentylacji mieszkań – Część 1: Urządzenia do przepływu powietrza, montowane w przegrodach zewnętrznych i wewnętrznych</w:t>
            </w:r>
          </w:p>
        </w:tc>
      </w:tr>
      <w:tr w:rsidR="00D00A58" w:rsidRPr="00C0396F" w14:paraId="42623AAE" w14:textId="77777777" w:rsidTr="00D52A61">
        <w:trPr>
          <w:trHeight w:val="643"/>
        </w:trPr>
        <w:tc>
          <w:tcPr>
            <w:tcW w:w="3261" w:type="dxa"/>
          </w:tcPr>
          <w:p w14:paraId="52F3BC6D" w14:textId="77777777" w:rsidR="0057252B" w:rsidRPr="00C0396F" w:rsidRDefault="0057252B">
            <w:pPr>
              <w:spacing w:after="0" w:line="259" w:lineRule="auto"/>
              <w:ind w:left="0" w:right="0" w:firstLine="0"/>
              <w:jc w:val="left"/>
              <w:rPr>
                <w:rFonts w:ascii="Lato" w:hAnsi="Lato" w:cs="Arial"/>
                <w:color w:val="auto"/>
                <w:sz w:val="20"/>
                <w:szCs w:val="20"/>
                <w:lang w:val="en-US"/>
              </w:rPr>
            </w:pPr>
            <w:r w:rsidRPr="00C0396F">
              <w:rPr>
                <w:rFonts w:ascii="Lato" w:hAnsi="Lato" w:cs="Arial"/>
                <w:color w:val="auto"/>
                <w:sz w:val="20"/>
                <w:szCs w:val="20"/>
                <w:lang w:val="en-US"/>
              </w:rPr>
              <w:t>34.PN-EN 13363-1+A1:2010</w:t>
            </w:r>
          </w:p>
          <w:p w14:paraId="5FD58CCB" w14:textId="6B9078E3" w:rsidR="0057252B" w:rsidRPr="00C0396F" w:rsidRDefault="0057252B">
            <w:pPr>
              <w:spacing w:after="0" w:line="259" w:lineRule="auto"/>
              <w:ind w:left="0" w:right="0" w:firstLine="0"/>
              <w:jc w:val="left"/>
              <w:rPr>
                <w:rFonts w:ascii="Lato" w:hAnsi="Lato" w:cs="Arial"/>
                <w:color w:val="auto"/>
                <w:sz w:val="20"/>
                <w:szCs w:val="20"/>
                <w:lang w:val="en-US"/>
              </w:rPr>
            </w:pPr>
            <w:r w:rsidRPr="00C0396F">
              <w:rPr>
                <w:rFonts w:ascii="Lato" w:hAnsi="Lato" w:cs="Arial"/>
                <w:color w:val="auto"/>
                <w:sz w:val="20"/>
                <w:szCs w:val="20"/>
                <w:lang w:val="en-US"/>
              </w:rPr>
              <w:t>PN-EN 13363-1+A1:2010/AC:2010</w:t>
            </w:r>
          </w:p>
        </w:tc>
        <w:tc>
          <w:tcPr>
            <w:tcW w:w="5953" w:type="dxa"/>
          </w:tcPr>
          <w:p w14:paraId="1E8729FB" w14:textId="6FE966A8" w:rsidR="0057252B" w:rsidRPr="00C0396F" w:rsidRDefault="004F19A8" w:rsidP="0057252B">
            <w:pPr>
              <w:ind w:left="0" w:firstLine="0"/>
              <w:rPr>
                <w:rFonts w:ascii="Lato" w:hAnsi="Lato" w:cs="Arial"/>
                <w:color w:val="auto"/>
                <w:sz w:val="20"/>
                <w:szCs w:val="20"/>
              </w:rPr>
            </w:pPr>
            <w:r w:rsidRPr="00C0396F">
              <w:rPr>
                <w:rFonts w:ascii="Lato" w:hAnsi="Lato" w:cs="Arial"/>
                <w:color w:val="auto"/>
                <w:sz w:val="20"/>
                <w:szCs w:val="20"/>
              </w:rPr>
              <w:t>Urządzenia ochrony przeciwsłonecznej połączone z oszkleniem – Obliczanie współczynnika przenikania całkowitej energii promieniowania słonecznego i światła – Część 2: Szczegółowa metoda obliczanie.</w:t>
            </w:r>
          </w:p>
        </w:tc>
      </w:tr>
      <w:tr w:rsidR="00D00A58" w:rsidRPr="00C0396F" w14:paraId="403FCF97" w14:textId="77777777" w:rsidTr="00D52A61">
        <w:trPr>
          <w:trHeight w:val="643"/>
        </w:trPr>
        <w:tc>
          <w:tcPr>
            <w:tcW w:w="3261" w:type="dxa"/>
          </w:tcPr>
          <w:p w14:paraId="04ACEC2D" w14:textId="37DA30F1" w:rsidR="004F76A9" w:rsidRPr="00C0396F" w:rsidRDefault="004F76A9">
            <w:pPr>
              <w:spacing w:after="0" w:line="259" w:lineRule="auto"/>
              <w:ind w:left="0" w:right="0" w:firstLine="0"/>
              <w:jc w:val="left"/>
              <w:rPr>
                <w:rFonts w:ascii="Lato" w:hAnsi="Lato" w:cs="Arial"/>
                <w:color w:val="auto"/>
                <w:sz w:val="20"/>
                <w:szCs w:val="20"/>
              </w:rPr>
            </w:pPr>
            <w:r w:rsidRPr="00C0396F">
              <w:rPr>
                <w:rFonts w:ascii="Lato" w:hAnsi="Lato" w:cs="Arial"/>
                <w:color w:val="auto"/>
                <w:sz w:val="20"/>
                <w:szCs w:val="20"/>
              </w:rPr>
              <w:t>35.PN-EN 13363-2:2006</w:t>
            </w:r>
          </w:p>
        </w:tc>
        <w:tc>
          <w:tcPr>
            <w:tcW w:w="5953" w:type="dxa"/>
          </w:tcPr>
          <w:p w14:paraId="78ED3CBB" w14:textId="491B9FEF" w:rsidR="004F76A9" w:rsidRPr="00C0396F" w:rsidRDefault="004F76A9" w:rsidP="0057252B">
            <w:pPr>
              <w:ind w:left="0" w:firstLine="0"/>
              <w:rPr>
                <w:rFonts w:ascii="Lato" w:hAnsi="Lato" w:cs="Arial"/>
                <w:color w:val="auto"/>
                <w:sz w:val="20"/>
                <w:szCs w:val="20"/>
              </w:rPr>
            </w:pPr>
            <w:r w:rsidRPr="00C0396F">
              <w:rPr>
                <w:rFonts w:ascii="Lato" w:hAnsi="Lato" w:cs="Arial"/>
                <w:color w:val="auto"/>
                <w:sz w:val="20"/>
                <w:szCs w:val="20"/>
              </w:rPr>
              <w:t>Urządzenia</w:t>
            </w:r>
            <w:r w:rsidRPr="00C0396F">
              <w:rPr>
                <w:rFonts w:ascii="Lato" w:hAnsi="Lato" w:cs="Arial"/>
                <w:color w:val="auto"/>
                <w:sz w:val="20"/>
                <w:szCs w:val="20"/>
              </w:rPr>
              <w:tab/>
              <w:t xml:space="preserve"> ochrony</w:t>
            </w:r>
            <w:r w:rsidRPr="00C0396F">
              <w:rPr>
                <w:rFonts w:ascii="Lato" w:hAnsi="Lato" w:cs="Arial"/>
                <w:color w:val="auto"/>
                <w:sz w:val="20"/>
                <w:szCs w:val="20"/>
              </w:rPr>
              <w:tab/>
              <w:t xml:space="preserve"> przeciwsłonecznej powiązane z oszkleniem – Obliczanie współczynnika przenikania całkowitej energii promieniowania słonecznego i światła – Część 2: Szczegółowa metoda obliczania.</w:t>
            </w:r>
          </w:p>
        </w:tc>
      </w:tr>
      <w:tr w:rsidR="00D00A58" w:rsidRPr="00C0396F" w14:paraId="056D06E8" w14:textId="77777777" w:rsidTr="00D52A61">
        <w:trPr>
          <w:trHeight w:val="334"/>
        </w:trPr>
        <w:tc>
          <w:tcPr>
            <w:tcW w:w="3261" w:type="dxa"/>
          </w:tcPr>
          <w:p w14:paraId="4145EA90" w14:textId="563E9745" w:rsidR="004F76A9" w:rsidRPr="00C0396F" w:rsidRDefault="004F76A9">
            <w:pPr>
              <w:spacing w:after="0" w:line="259" w:lineRule="auto"/>
              <w:ind w:left="0" w:right="0" w:firstLine="0"/>
              <w:jc w:val="left"/>
              <w:rPr>
                <w:rFonts w:ascii="Lato" w:hAnsi="Lato" w:cs="Arial"/>
                <w:color w:val="auto"/>
                <w:sz w:val="20"/>
                <w:szCs w:val="20"/>
              </w:rPr>
            </w:pPr>
            <w:r w:rsidRPr="00C0396F">
              <w:rPr>
                <w:rFonts w:ascii="Lato" w:hAnsi="Lato" w:cs="Arial"/>
                <w:color w:val="auto"/>
                <w:sz w:val="20"/>
                <w:szCs w:val="20"/>
              </w:rPr>
              <w:t>36.PN-ENV 13420:2006</w:t>
            </w:r>
          </w:p>
        </w:tc>
        <w:tc>
          <w:tcPr>
            <w:tcW w:w="5953" w:type="dxa"/>
          </w:tcPr>
          <w:p w14:paraId="681E3409" w14:textId="52FDB9A2" w:rsidR="004F76A9" w:rsidRPr="00C0396F" w:rsidRDefault="004F76A9" w:rsidP="004F76A9">
            <w:pPr>
              <w:spacing w:after="30"/>
              <w:ind w:right="0"/>
              <w:rPr>
                <w:rFonts w:ascii="Lato" w:hAnsi="Lato" w:cs="Arial"/>
                <w:color w:val="auto"/>
                <w:sz w:val="20"/>
                <w:szCs w:val="20"/>
              </w:rPr>
            </w:pPr>
            <w:r w:rsidRPr="00C0396F">
              <w:rPr>
                <w:rFonts w:ascii="Lato" w:hAnsi="Lato" w:cs="Arial"/>
                <w:color w:val="auto"/>
                <w:sz w:val="20"/>
                <w:szCs w:val="20"/>
              </w:rPr>
              <w:t>Okna – Zachowanie się pomiędzy dwoma różnymi klimatami – Metoda badania (oryg.)</w:t>
            </w:r>
          </w:p>
          <w:p w14:paraId="32446896" w14:textId="75AF7925" w:rsidR="004F76A9" w:rsidRPr="00C0396F" w:rsidRDefault="004F76A9" w:rsidP="004F76A9">
            <w:pPr>
              <w:tabs>
                <w:tab w:val="center" w:pos="1534"/>
                <w:tab w:val="center" w:pos="6719"/>
              </w:tabs>
              <w:spacing w:after="30"/>
              <w:ind w:left="0" w:right="0" w:firstLine="0"/>
              <w:jc w:val="left"/>
              <w:rPr>
                <w:rFonts w:ascii="Lato" w:hAnsi="Lato" w:cs="Arial"/>
                <w:color w:val="auto"/>
                <w:sz w:val="20"/>
                <w:szCs w:val="20"/>
              </w:rPr>
            </w:pPr>
          </w:p>
        </w:tc>
      </w:tr>
    </w:tbl>
    <w:p w14:paraId="5B13AEEC" w14:textId="77777777" w:rsidR="004F76A9" w:rsidRPr="00C0396F" w:rsidRDefault="004F76A9" w:rsidP="00D52A61">
      <w:pPr>
        <w:tabs>
          <w:tab w:val="left" w:pos="9072"/>
        </w:tabs>
        <w:spacing w:after="41" w:line="224" w:lineRule="auto"/>
        <w:ind w:left="3261" w:right="69" w:hanging="3261"/>
        <w:jc w:val="left"/>
        <w:rPr>
          <w:rFonts w:ascii="Lato" w:hAnsi="Lato" w:cs="Arial"/>
          <w:color w:val="auto"/>
          <w:sz w:val="20"/>
          <w:szCs w:val="20"/>
        </w:rPr>
      </w:pPr>
      <w:r w:rsidRPr="00C0396F">
        <w:rPr>
          <w:rFonts w:ascii="Lato" w:hAnsi="Lato" w:cs="Arial"/>
          <w:color w:val="auto"/>
          <w:sz w:val="20"/>
          <w:szCs w:val="20"/>
        </w:rPr>
        <w:t>37.PN-EN 13501-1+A1:2010</w:t>
      </w:r>
      <w:r w:rsidRPr="00C0396F">
        <w:rPr>
          <w:rFonts w:ascii="Lato" w:hAnsi="Lato" w:cs="Arial"/>
          <w:color w:val="auto"/>
          <w:sz w:val="20"/>
          <w:szCs w:val="20"/>
        </w:rPr>
        <w:tab/>
        <w:t>Klasyfikacja ogniowa wyrobów budowlanych i elementów budynków – Część 1: Klasyfikacja na podstawie badań reakcji na ogień.</w:t>
      </w:r>
    </w:p>
    <w:p w14:paraId="427705AE" w14:textId="543C3841" w:rsidR="0057252B" w:rsidRPr="00C0396F" w:rsidRDefault="00EF306B" w:rsidP="00EF306B">
      <w:pPr>
        <w:spacing w:after="40"/>
        <w:ind w:left="3245" w:right="592" w:hanging="3255"/>
        <w:rPr>
          <w:rFonts w:ascii="Lato" w:hAnsi="Lato" w:cs="Arial"/>
          <w:color w:val="auto"/>
          <w:sz w:val="20"/>
          <w:szCs w:val="20"/>
        </w:rPr>
      </w:pPr>
      <w:r w:rsidRPr="00C0396F">
        <w:rPr>
          <w:rFonts w:ascii="Lato" w:hAnsi="Lato" w:cs="Arial"/>
          <w:color w:val="auto"/>
          <w:sz w:val="20"/>
          <w:szCs w:val="20"/>
        </w:rPr>
        <w:t>38.PN-EN 13501-5+A1:2010</w:t>
      </w:r>
      <w:r w:rsidRPr="00C0396F">
        <w:rPr>
          <w:rFonts w:ascii="Lato" w:hAnsi="Lato" w:cs="Arial"/>
          <w:color w:val="auto"/>
          <w:sz w:val="20"/>
          <w:szCs w:val="20"/>
        </w:rPr>
        <w:tab/>
        <w:t xml:space="preserve"> Klasyfikacja ogniowa wyrobów budowlanych i elementów budynków – Część 5: Klasyfikacja na podstawie wyników badań oddziaływania ognia zewnętrznego na dachy.</w:t>
      </w:r>
    </w:p>
    <w:p w14:paraId="41640211" w14:textId="1F0D171B" w:rsidR="007F0A6F" w:rsidRPr="00C0396F" w:rsidRDefault="00B259FF" w:rsidP="00D52A61">
      <w:pPr>
        <w:spacing w:after="39"/>
        <w:ind w:left="3261" w:right="0" w:hanging="3261"/>
        <w:jc w:val="left"/>
        <w:rPr>
          <w:rFonts w:ascii="Lato" w:hAnsi="Lato" w:cs="Arial"/>
          <w:color w:val="auto"/>
          <w:sz w:val="20"/>
          <w:szCs w:val="20"/>
        </w:rPr>
      </w:pPr>
      <w:r w:rsidRPr="00C0396F">
        <w:rPr>
          <w:rFonts w:ascii="Lato" w:hAnsi="Lato" w:cs="Arial"/>
          <w:color w:val="auto"/>
          <w:sz w:val="20"/>
          <w:szCs w:val="20"/>
        </w:rPr>
        <w:t>39.PN-EN 14608:2006</w:t>
      </w:r>
      <w:r w:rsidRPr="00C0396F">
        <w:rPr>
          <w:rFonts w:ascii="Lato" w:hAnsi="Lato" w:cs="Arial"/>
          <w:color w:val="auto"/>
          <w:sz w:val="20"/>
          <w:szCs w:val="20"/>
        </w:rPr>
        <w:tab/>
        <w:t>Okna – Oznaczanie odporności</w:t>
      </w:r>
      <w:r w:rsidRPr="00C0396F">
        <w:rPr>
          <w:rFonts w:ascii="Lato" w:hAnsi="Lato" w:cs="Arial"/>
          <w:color w:val="auto"/>
          <w:sz w:val="20"/>
          <w:szCs w:val="20"/>
        </w:rPr>
        <w:tab/>
        <w:t>na obciążenia w płaszczyźnie skrzydła.</w:t>
      </w:r>
    </w:p>
    <w:p w14:paraId="34B01CA5" w14:textId="77777777" w:rsidR="007F0A6F" w:rsidRPr="00C0396F" w:rsidRDefault="00B259FF" w:rsidP="00EF306B">
      <w:pPr>
        <w:spacing w:after="39"/>
        <w:ind w:left="3261" w:right="0" w:hanging="3261"/>
        <w:rPr>
          <w:rFonts w:ascii="Lato" w:hAnsi="Lato" w:cs="Arial"/>
          <w:color w:val="auto"/>
          <w:sz w:val="20"/>
          <w:szCs w:val="20"/>
        </w:rPr>
      </w:pPr>
      <w:r w:rsidRPr="00C0396F">
        <w:rPr>
          <w:rFonts w:ascii="Lato" w:hAnsi="Lato" w:cs="Arial"/>
          <w:color w:val="auto"/>
          <w:sz w:val="20"/>
          <w:szCs w:val="20"/>
        </w:rPr>
        <w:lastRenderedPageBreak/>
        <w:t>40.PN-EN 14609:2006</w:t>
      </w:r>
      <w:r w:rsidRPr="00C0396F">
        <w:rPr>
          <w:rFonts w:ascii="Lato" w:hAnsi="Lato" w:cs="Arial"/>
          <w:color w:val="auto"/>
          <w:sz w:val="20"/>
          <w:szCs w:val="20"/>
        </w:rPr>
        <w:tab/>
        <w:t>Okna</w:t>
      </w:r>
      <w:r w:rsidRPr="00C0396F">
        <w:rPr>
          <w:rFonts w:ascii="Lato" w:hAnsi="Lato" w:cs="Arial"/>
          <w:color w:val="auto"/>
          <w:sz w:val="20"/>
          <w:szCs w:val="20"/>
        </w:rPr>
        <w:tab/>
        <w:t xml:space="preserve"> –</w:t>
      </w:r>
      <w:r w:rsidRPr="00C0396F">
        <w:rPr>
          <w:rFonts w:ascii="Lato" w:hAnsi="Lato" w:cs="Arial"/>
          <w:color w:val="auto"/>
          <w:sz w:val="20"/>
          <w:szCs w:val="20"/>
        </w:rPr>
        <w:tab/>
        <w:t xml:space="preserve"> Oznaczanie</w:t>
      </w:r>
      <w:r w:rsidRPr="00C0396F">
        <w:rPr>
          <w:rFonts w:ascii="Lato" w:hAnsi="Lato" w:cs="Arial"/>
          <w:color w:val="auto"/>
          <w:sz w:val="20"/>
          <w:szCs w:val="20"/>
        </w:rPr>
        <w:tab/>
        <w:t xml:space="preserve"> odporności</w:t>
      </w:r>
      <w:r w:rsidRPr="00C0396F">
        <w:rPr>
          <w:rFonts w:ascii="Lato" w:hAnsi="Lato" w:cs="Arial"/>
          <w:color w:val="auto"/>
          <w:sz w:val="20"/>
          <w:szCs w:val="20"/>
        </w:rPr>
        <w:tab/>
        <w:t xml:space="preserve"> na skręcanie statyczne.</w:t>
      </w:r>
    </w:p>
    <w:p w14:paraId="6347B0F1" w14:textId="213721BD" w:rsidR="007F0A6F" w:rsidRPr="00C0396F" w:rsidRDefault="00B259FF" w:rsidP="00EF306B">
      <w:pPr>
        <w:spacing w:after="40"/>
        <w:ind w:left="3261" w:right="592" w:hanging="3261"/>
        <w:rPr>
          <w:rFonts w:ascii="Lato" w:hAnsi="Lato" w:cs="Arial"/>
          <w:color w:val="auto"/>
          <w:sz w:val="20"/>
          <w:szCs w:val="20"/>
        </w:rPr>
      </w:pPr>
      <w:r w:rsidRPr="00C0396F">
        <w:rPr>
          <w:rFonts w:ascii="Lato" w:hAnsi="Lato" w:cs="Arial"/>
          <w:color w:val="auto"/>
          <w:sz w:val="20"/>
          <w:szCs w:val="20"/>
        </w:rPr>
        <w:t xml:space="preserve">41.PN-EN 14351-1+A1:2010 </w:t>
      </w:r>
      <w:r w:rsidR="00EF306B" w:rsidRPr="00C0396F">
        <w:rPr>
          <w:rFonts w:ascii="Lato" w:hAnsi="Lato" w:cs="Arial"/>
          <w:color w:val="auto"/>
          <w:sz w:val="20"/>
          <w:szCs w:val="20"/>
        </w:rPr>
        <w:tab/>
      </w:r>
      <w:r w:rsidRPr="00C0396F">
        <w:rPr>
          <w:rFonts w:ascii="Lato" w:hAnsi="Lato" w:cs="Arial"/>
          <w:color w:val="auto"/>
          <w:sz w:val="20"/>
          <w:szCs w:val="20"/>
        </w:rPr>
        <w:t>Okna i drzwi – Norma wyrobu, właściwości eksploatacyjne – Część 1: Okna i drzwi zewnętrzne bez właściwości dotyczących odporności ogniowej i/lub dymoszczelności.</w:t>
      </w:r>
    </w:p>
    <w:p w14:paraId="505C06EF" w14:textId="5B161ABD" w:rsidR="007F0A6F" w:rsidRPr="00C0396F" w:rsidRDefault="00B259FF" w:rsidP="00EF306B">
      <w:pPr>
        <w:spacing w:after="29"/>
        <w:ind w:left="3261" w:right="592" w:hanging="3261"/>
        <w:rPr>
          <w:rFonts w:ascii="Lato" w:hAnsi="Lato" w:cs="Arial"/>
          <w:color w:val="auto"/>
          <w:sz w:val="20"/>
          <w:szCs w:val="20"/>
        </w:rPr>
      </w:pPr>
      <w:r w:rsidRPr="00C0396F">
        <w:rPr>
          <w:rFonts w:ascii="Lato" w:hAnsi="Lato" w:cs="Arial"/>
          <w:color w:val="auto"/>
          <w:sz w:val="20"/>
          <w:szCs w:val="20"/>
        </w:rPr>
        <w:t xml:space="preserve">42.PN-EN ISO 10140-1:2011 </w:t>
      </w:r>
      <w:r w:rsidR="00EF306B" w:rsidRPr="00C0396F">
        <w:rPr>
          <w:rFonts w:ascii="Lato" w:hAnsi="Lato" w:cs="Arial"/>
          <w:color w:val="auto"/>
          <w:sz w:val="20"/>
          <w:szCs w:val="20"/>
        </w:rPr>
        <w:tab/>
      </w:r>
      <w:r w:rsidRPr="00C0396F">
        <w:rPr>
          <w:rFonts w:ascii="Lato" w:hAnsi="Lato" w:cs="Arial"/>
          <w:color w:val="auto"/>
          <w:sz w:val="20"/>
          <w:szCs w:val="20"/>
        </w:rPr>
        <w:t>Akustyka – Pomiar laboratoryjny izolacyjności akustycznej elementów budowlanych – Część 1: Zasady Stosowania dla określonych wyrobów</w:t>
      </w:r>
    </w:p>
    <w:p w14:paraId="7582E28D" w14:textId="77777777" w:rsidR="007F0A6F" w:rsidRPr="00C0396F" w:rsidRDefault="00B259FF" w:rsidP="00EF306B">
      <w:pPr>
        <w:spacing w:after="2" w:line="259" w:lineRule="auto"/>
        <w:ind w:left="318" w:right="0"/>
        <w:jc w:val="center"/>
        <w:rPr>
          <w:rFonts w:ascii="Lato" w:hAnsi="Lato" w:cs="Arial"/>
          <w:color w:val="auto"/>
          <w:sz w:val="20"/>
          <w:szCs w:val="20"/>
        </w:rPr>
      </w:pPr>
      <w:r w:rsidRPr="00C0396F">
        <w:rPr>
          <w:rFonts w:ascii="Lato" w:hAnsi="Lato" w:cs="Arial"/>
          <w:color w:val="auto"/>
          <w:sz w:val="20"/>
          <w:szCs w:val="20"/>
        </w:rPr>
        <w:t>(oryg.).</w:t>
      </w:r>
    </w:p>
    <w:p w14:paraId="08AAC612" w14:textId="649DA076" w:rsidR="007F0A6F" w:rsidRPr="00C0396F" w:rsidRDefault="00B259FF" w:rsidP="00EF306B">
      <w:pPr>
        <w:spacing w:after="29"/>
        <w:ind w:left="3261" w:right="592" w:hanging="3261"/>
        <w:rPr>
          <w:rFonts w:ascii="Lato" w:hAnsi="Lato" w:cs="Arial"/>
          <w:color w:val="auto"/>
          <w:sz w:val="20"/>
          <w:szCs w:val="20"/>
        </w:rPr>
      </w:pPr>
      <w:r w:rsidRPr="00C0396F">
        <w:rPr>
          <w:rFonts w:ascii="Lato" w:hAnsi="Lato" w:cs="Arial"/>
          <w:color w:val="auto"/>
          <w:sz w:val="20"/>
          <w:szCs w:val="20"/>
        </w:rPr>
        <w:t xml:space="preserve">43.PN-EN ISO 10140-2:2011 </w:t>
      </w:r>
      <w:r w:rsidR="00EF306B" w:rsidRPr="00C0396F">
        <w:rPr>
          <w:rFonts w:ascii="Lato" w:hAnsi="Lato" w:cs="Arial"/>
          <w:color w:val="auto"/>
          <w:sz w:val="20"/>
          <w:szCs w:val="20"/>
        </w:rPr>
        <w:tab/>
      </w:r>
      <w:r w:rsidRPr="00C0396F">
        <w:rPr>
          <w:rFonts w:ascii="Lato" w:hAnsi="Lato" w:cs="Arial"/>
          <w:color w:val="auto"/>
          <w:sz w:val="20"/>
          <w:szCs w:val="20"/>
        </w:rPr>
        <w:t>Akustyka – Pomiar laboratoryjny izolacyjności akustycznej elementów budowlanych – Część 2: Pomiar izolacyjności od dźwięków powietrznych</w:t>
      </w:r>
      <w:r w:rsidR="00EF306B" w:rsidRPr="00C0396F">
        <w:rPr>
          <w:rFonts w:ascii="Lato" w:hAnsi="Lato" w:cs="Arial"/>
          <w:color w:val="auto"/>
          <w:sz w:val="20"/>
          <w:szCs w:val="20"/>
        </w:rPr>
        <w:t xml:space="preserve"> </w:t>
      </w:r>
      <w:r w:rsidRPr="00C0396F">
        <w:rPr>
          <w:rFonts w:ascii="Lato" w:hAnsi="Lato" w:cs="Arial"/>
          <w:color w:val="auto"/>
          <w:sz w:val="20"/>
          <w:szCs w:val="20"/>
        </w:rPr>
        <w:t>(oryg.).</w:t>
      </w:r>
    </w:p>
    <w:p w14:paraId="570F77F9" w14:textId="2BAFBC70" w:rsidR="007F0A6F" w:rsidRPr="00C0396F" w:rsidRDefault="00B259FF" w:rsidP="00EF306B">
      <w:pPr>
        <w:spacing w:after="30" w:line="224" w:lineRule="auto"/>
        <w:ind w:left="3261" w:right="0" w:hanging="3261"/>
        <w:jc w:val="left"/>
        <w:rPr>
          <w:rFonts w:ascii="Lato" w:hAnsi="Lato" w:cs="Arial"/>
          <w:color w:val="auto"/>
          <w:sz w:val="20"/>
          <w:szCs w:val="20"/>
        </w:rPr>
      </w:pPr>
      <w:r w:rsidRPr="00C0396F">
        <w:rPr>
          <w:rFonts w:ascii="Lato" w:hAnsi="Lato" w:cs="Arial"/>
          <w:color w:val="auto"/>
          <w:sz w:val="20"/>
          <w:szCs w:val="20"/>
        </w:rPr>
        <w:t>44.PN-EN ISO 10140-3:2011</w:t>
      </w:r>
      <w:r w:rsidRPr="00C0396F">
        <w:rPr>
          <w:rFonts w:ascii="Lato" w:hAnsi="Lato" w:cs="Arial"/>
          <w:color w:val="auto"/>
          <w:sz w:val="20"/>
          <w:szCs w:val="20"/>
        </w:rPr>
        <w:tab/>
        <w:t>Akustyka</w:t>
      </w:r>
      <w:r w:rsidRPr="00C0396F">
        <w:rPr>
          <w:rFonts w:ascii="Lato" w:hAnsi="Lato" w:cs="Arial"/>
          <w:color w:val="auto"/>
          <w:sz w:val="20"/>
          <w:szCs w:val="20"/>
        </w:rPr>
        <w:tab/>
        <w:t xml:space="preserve"> –</w:t>
      </w:r>
      <w:r w:rsidRPr="00C0396F">
        <w:rPr>
          <w:rFonts w:ascii="Lato" w:hAnsi="Lato" w:cs="Arial"/>
          <w:color w:val="auto"/>
          <w:sz w:val="20"/>
          <w:szCs w:val="20"/>
        </w:rPr>
        <w:tab/>
        <w:t xml:space="preserve"> Pomiar</w:t>
      </w:r>
      <w:r w:rsidRPr="00C0396F">
        <w:rPr>
          <w:rFonts w:ascii="Lato" w:hAnsi="Lato" w:cs="Arial"/>
          <w:color w:val="auto"/>
          <w:sz w:val="20"/>
          <w:szCs w:val="20"/>
        </w:rPr>
        <w:tab/>
        <w:t xml:space="preserve"> laboratoryjny izolacyjności</w:t>
      </w:r>
      <w:r w:rsidRPr="00C0396F">
        <w:rPr>
          <w:rFonts w:ascii="Lato" w:hAnsi="Lato" w:cs="Arial"/>
          <w:color w:val="auto"/>
          <w:sz w:val="20"/>
          <w:szCs w:val="20"/>
        </w:rPr>
        <w:tab/>
        <w:t xml:space="preserve"> akustycznej elementów budowlanych –</w:t>
      </w:r>
      <w:r w:rsidR="00EF306B" w:rsidRPr="00C0396F">
        <w:rPr>
          <w:rFonts w:ascii="Lato" w:hAnsi="Lato" w:cs="Arial"/>
          <w:color w:val="auto"/>
          <w:sz w:val="20"/>
          <w:szCs w:val="20"/>
        </w:rPr>
        <w:t xml:space="preserve"> </w:t>
      </w:r>
      <w:r w:rsidRPr="00C0396F">
        <w:rPr>
          <w:rFonts w:ascii="Lato" w:hAnsi="Lato" w:cs="Arial"/>
          <w:color w:val="auto"/>
          <w:sz w:val="20"/>
          <w:szCs w:val="20"/>
        </w:rPr>
        <w:t>Część</w:t>
      </w:r>
      <w:r w:rsidRPr="00C0396F">
        <w:rPr>
          <w:rFonts w:ascii="Lato" w:hAnsi="Lato" w:cs="Arial"/>
          <w:color w:val="auto"/>
          <w:sz w:val="20"/>
          <w:szCs w:val="20"/>
        </w:rPr>
        <w:tab/>
        <w:t xml:space="preserve"> 3: Pomiar izolacyjności od dźwięków uderzeniowych</w:t>
      </w:r>
      <w:r w:rsidR="00EF306B" w:rsidRPr="00C0396F">
        <w:rPr>
          <w:rFonts w:ascii="Lato" w:hAnsi="Lato" w:cs="Arial"/>
          <w:color w:val="auto"/>
          <w:sz w:val="20"/>
          <w:szCs w:val="20"/>
        </w:rPr>
        <w:t xml:space="preserve"> </w:t>
      </w:r>
      <w:r w:rsidRPr="00C0396F">
        <w:rPr>
          <w:rFonts w:ascii="Lato" w:hAnsi="Lato" w:cs="Arial"/>
          <w:color w:val="auto"/>
          <w:sz w:val="20"/>
          <w:szCs w:val="20"/>
        </w:rPr>
        <w:t>(oryg.).</w:t>
      </w:r>
    </w:p>
    <w:p w14:paraId="01EB13FA" w14:textId="00383663" w:rsidR="007F0A6F" w:rsidRPr="00C0396F" w:rsidRDefault="00B259FF" w:rsidP="00D52A61">
      <w:pPr>
        <w:spacing w:after="33" w:line="231" w:lineRule="auto"/>
        <w:ind w:left="3261" w:right="577" w:hanging="3261"/>
        <w:rPr>
          <w:rFonts w:ascii="Lato" w:hAnsi="Lato" w:cs="Arial"/>
          <w:color w:val="auto"/>
          <w:sz w:val="20"/>
          <w:szCs w:val="20"/>
        </w:rPr>
      </w:pPr>
      <w:r w:rsidRPr="00C0396F">
        <w:rPr>
          <w:rFonts w:ascii="Lato" w:hAnsi="Lato" w:cs="Arial"/>
          <w:color w:val="auto"/>
          <w:sz w:val="20"/>
          <w:szCs w:val="20"/>
        </w:rPr>
        <w:t>45.PN-EN ISO 10140-4:2011</w:t>
      </w:r>
      <w:r w:rsidR="00EF306B" w:rsidRPr="00C0396F">
        <w:rPr>
          <w:rFonts w:ascii="Lato" w:hAnsi="Lato" w:cs="Arial"/>
          <w:color w:val="auto"/>
          <w:sz w:val="20"/>
          <w:szCs w:val="20"/>
        </w:rPr>
        <w:tab/>
      </w:r>
      <w:r w:rsidRPr="00C0396F">
        <w:rPr>
          <w:rFonts w:ascii="Lato" w:hAnsi="Lato" w:cs="Arial"/>
          <w:color w:val="auto"/>
          <w:sz w:val="20"/>
          <w:szCs w:val="20"/>
        </w:rPr>
        <w:t>Akustyka – Pomiar</w:t>
      </w:r>
      <w:r w:rsidRPr="00C0396F">
        <w:rPr>
          <w:rFonts w:ascii="Lato" w:hAnsi="Lato" w:cs="Arial"/>
          <w:color w:val="auto"/>
          <w:sz w:val="20"/>
          <w:szCs w:val="20"/>
        </w:rPr>
        <w:tab/>
        <w:t xml:space="preserve"> laboratoryjny izolacyjności</w:t>
      </w:r>
      <w:r w:rsidRPr="00C0396F">
        <w:rPr>
          <w:rFonts w:ascii="Lato" w:hAnsi="Lato" w:cs="Arial"/>
          <w:color w:val="auto"/>
          <w:sz w:val="20"/>
          <w:szCs w:val="20"/>
        </w:rPr>
        <w:tab/>
        <w:t xml:space="preserve"> akustycznej</w:t>
      </w:r>
      <w:r w:rsidR="00EF306B" w:rsidRPr="00C0396F">
        <w:rPr>
          <w:rFonts w:ascii="Lato" w:hAnsi="Lato" w:cs="Arial"/>
          <w:color w:val="auto"/>
          <w:sz w:val="20"/>
          <w:szCs w:val="20"/>
        </w:rPr>
        <w:t xml:space="preserve"> </w:t>
      </w:r>
      <w:r w:rsidRPr="00C0396F">
        <w:rPr>
          <w:rFonts w:ascii="Lato" w:hAnsi="Lato" w:cs="Arial"/>
          <w:color w:val="auto"/>
          <w:sz w:val="20"/>
          <w:szCs w:val="20"/>
        </w:rPr>
        <w:t>elementów</w:t>
      </w:r>
      <w:r w:rsidR="00D52A61" w:rsidRPr="00C0396F">
        <w:rPr>
          <w:rFonts w:ascii="Lato" w:hAnsi="Lato" w:cs="Arial"/>
          <w:color w:val="auto"/>
          <w:sz w:val="20"/>
          <w:szCs w:val="20"/>
        </w:rPr>
        <w:t xml:space="preserve"> </w:t>
      </w:r>
      <w:r w:rsidRPr="00C0396F">
        <w:rPr>
          <w:rFonts w:ascii="Lato" w:hAnsi="Lato" w:cs="Arial"/>
          <w:color w:val="auto"/>
          <w:sz w:val="20"/>
          <w:szCs w:val="20"/>
        </w:rPr>
        <w:t>budowlanych –Część</w:t>
      </w:r>
      <w:r w:rsidRPr="00C0396F">
        <w:rPr>
          <w:rFonts w:ascii="Lato" w:hAnsi="Lato" w:cs="Arial"/>
          <w:color w:val="auto"/>
          <w:sz w:val="20"/>
          <w:szCs w:val="20"/>
        </w:rPr>
        <w:tab/>
        <w:t xml:space="preserve"> 4:Procedury pomiarowe i wymagania (oryg.).</w:t>
      </w:r>
    </w:p>
    <w:p w14:paraId="326A1904" w14:textId="79336920" w:rsidR="007F0A6F" w:rsidRPr="00C0396F" w:rsidRDefault="00B259FF" w:rsidP="00D52A61">
      <w:pPr>
        <w:spacing w:after="41" w:line="224" w:lineRule="auto"/>
        <w:ind w:left="3261" w:right="0" w:hanging="3261"/>
        <w:jc w:val="left"/>
        <w:rPr>
          <w:rFonts w:ascii="Lato" w:hAnsi="Lato" w:cs="Arial"/>
          <w:color w:val="auto"/>
          <w:sz w:val="20"/>
          <w:szCs w:val="20"/>
        </w:rPr>
      </w:pPr>
      <w:r w:rsidRPr="00C0396F">
        <w:rPr>
          <w:rFonts w:ascii="Lato" w:hAnsi="Lato" w:cs="Arial"/>
          <w:color w:val="auto"/>
          <w:sz w:val="20"/>
          <w:szCs w:val="20"/>
        </w:rPr>
        <w:t>46.PN-EN ISO 10140-5:2011</w:t>
      </w:r>
      <w:r w:rsidRPr="00C0396F">
        <w:rPr>
          <w:rFonts w:ascii="Lato" w:hAnsi="Lato" w:cs="Arial"/>
          <w:color w:val="auto"/>
          <w:sz w:val="20"/>
          <w:szCs w:val="20"/>
        </w:rPr>
        <w:tab/>
        <w:t>Akustyka</w:t>
      </w:r>
      <w:r w:rsidRPr="00C0396F">
        <w:rPr>
          <w:rFonts w:ascii="Lato" w:hAnsi="Lato" w:cs="Arial"/>
          <w:color w:val="auto"/>
          <w:sz w:val="20"/>
          <w:szCs w:val="20"/>
        </w:rPr>
        <w:tab/>
        <w:t xml:space="preserve"> –</w:t>
      </w:r>
      <w:r w:rsidRPr="00C0396F">
        <w:rPr>
          <w:rFonts w:ascii="Lato" w:hAnsi="Lato" w:cs="Arial"/>
          <w:color w:val="auto"/>
          <w:sz w:val="20"/>
          <w:szCs w:val="20"/>
        </w:rPr>
        <w:tab/>
        <w:t xml:space="preserve"> Pomiar</w:t>
      </w:r>
      <w:r w:rsidRPr="00C0396F">
        <w:rPr>
          <w:rFonts w:ascii="Lato" w:hAnsi="Lato" w:cs="Arial"/>
          <w:color w:val="auto"/>
          <w:sz w:val="20"/>
          <w:szCs w:val="20"/>
        </w:rPr>
        <w:tab/>
        <w:t xml:space="preserve"> laboratoryjny izolacyjności</w:t>
      </w:r>
      <w:r w:rsidRPr="00C0396F">
        <w:rPr>
          <w:rFonts w:ascii="Lato" w:hAnsi="Lato" w:cs="Arial"/>
          <w:color w:val="auto"/>
          <w:sz w:val="20"/>
          <w:szCs w:val="20"/>
        </w:rPr>
        <w:tab/>
        <w:t xml:space="preserve"> akustycznej elementów budowlanych – Część 5: Wymagania dotyczące laboratoryjnych</w:t>
      </w:r>
      <w:r w:rsidR="00D52A61" w:rsidRPr="00C0396F">
        <w:rPr>
          <w:rFonts w:ascii="Lato" w:hAnsi="Lato" w:cs="Arial"/>
          <w:color w:val="auto"/>
          <w:sz w:val="20"/>
          <w:szCs w:val="20"/>
        </w:rPr>
        <w:t xml:space="preserve"> </w:t>
      </w:r>
      <w:r w:rsidRPr="00C0396F">
        <w:rPr>
          <w:rFonts w:ascii="Lato" w:hAnsi="Lato" w:cs="Arial"/>
          <w:color w:val="auto"/>
          <w:sz w:val="20"/>
          <w:szCs w:val="20"/>
        </w:rPr>
        <w:t>stanowisk badawczych i wyposażenia (oryg.).</w:t>
      </w:r>
    </w:p>
    <w:p w14:paraId="2B4E74F7" w14:textId="58A9B472" w:rsidR="007F0A6F" w:rsidRPr="00C0396F" w:rsidRDefault="00B259FF" w:rsidP="00D52A61">
      <w:pPr>
        <w:spacing w:after="39"/>
        <w:ind w:left="3261" w:right="0" w:hanging="3261"/>
        <w:rPr>
          <w:rFonts w:ascii="Lato" w:hAnsi="Lato" w:cs="Arial"/>
          <w:color w:val="auto"/>
          <w:sz w:val="20"/>
          <w:szCs w:val="20"/>
        </w:rPr>
      </w:pPr>
      <w:r w:rsidRPr="00C0396F">
        <w:rPr>
          <w:rFonts w:ascii="Lato" w:hAnsi="Lato" w:cs="Arial"/>
          <w:color w:val="auto"/>
          <w:sz w:val="20"/>
          <w:szCs w:val="20"/>
        </w:rPr>
        <w:t>47.PN-EN 1990:2004</w:t>
      </w:r>
      <w:r w:rsidR="00D52A61" w:rsidRPr="00C0396F">
        <w:rPr>
          <w:rFonts w:ascii="Lato" w:hAnsi="Lato" w:cs="Arial"/>
          <w:color w:val="auto"/>
          <w:sz w:val="20"/>
          <w:szCs w:val="20"/>
        </w:rPr>
        <w:tab/>
      </w:r>
      <w:proofErr w:type="spellStart"/>
      <w:r w:rsidRPr="00C0396F">
        <w:rPr>
          <w:rFonts w:ascii="Lato" w:hAnsi="Lato" w:cs="Arial"/>
          <w:color w:val="auto"/>
          <w:sz w:val="20"/>
          <w:szCs w:val="20"/>
        </w:rPr>
        <w:t>Eurokod</w:t>
      </w:r>
      <w:proofErr w:type="spellEnd"/>
      <w:r w:rsidRPr="00C0396F">
        <w:rPr>
          <w:rFonts w:ascii="Lato" w:hAnsi="Lato" w:cs="Arial"/>
          <w:color w:val="auto"/>
          <w:sz w:val="20"/>
          <w:szCs w:val="20"/>
        </w:rPr>
        <w:tab/>
        <w:t xml:space="preserve"> –</w:t>
      </w:r>
      <w:r w:rsidRPr="00C0396F">
        <w:rPr>
          <w:rFonts w:ascii="Lato" w:hAnsi="Lato" w:cs="Arial"/>
          <w:color w:val="auto"/>
          <w:sz w:val="20"/>
          <w:szCs w:val="20"/>
        </w:rPr>
        <w:tab/>
        <w:t xml:space="preserve"> Podstawy</w:t>
      </w:r>
      <w:r w:rsidRPr="00C0396F">
        <w:rPr>
          <w:rFonts w:ascii="Lato" w:hAnsi="Lato" w:cs="Arial"/>
          <w:color w:val="auto"/>
          <w:sz w:val="20"/>
          <w:szCs w:val="20"/>
        </w:rPr>
        <w:tab/>
        <w:t xml:space="preserve"> projektowania konstrukcji.</w:t>
      </w:r>
    </w:p>
    <w:p w14:paraId="7BE9EF49" w14:textId="5DA58D7A" w:rsidR="007F0A6F" w:rsidRPr="00C0396F" w:rsidRDefault="00B259FF" w:rsidP="00D52A61">
      <w:pPr>
        <w:ind w:left="3261" w:right="0" w:hanging="3233"/>
        <w:rPr>
          <w:rFonts w:ascii="Lato" w:hAnsi="Lato" w:cs="Arial"/>
          <w:color w:val="auto"/>
          <w:sz w:val="20"/>
          <w:szCs w:val="20"/>
        </w:rPr>
      </w:pPr>
      <w:r w:rsidRPr="00C0396F">
        <w:rPr>
          <w:rFonts w:ascii="Lato" w:hAnsi="Lato" w:cs="Arial"/>
          <w:color w:val="auto"/>
          <w:sz w:val="20"/>
          <w:szCs w:val="20"/>
        </w:rPr>
        <w:t xml:space="preserve">48.PN-EN 1991-1-4:2008 </w:t>
      </w:r>
      <w:r w:rsidR="00D52A61" w:rsidRPr="00C0396F">
        <w:rPr>
          <w:rFonts w:ascii="Lato" w:hAnsi="Lato" w:cs="Arial"/>
          <w:color w:val="auto"/>
          <w:sz w:val="20"/>
          <w:szCs w:val="20"/>
        </w:rPr>
        <w:t xml:space="preserve">  </w:t>
      </w:r>
      <w:r w:rsidR="00D52A61" w:rsidRPr="00C0396F">
        <w:rPr>
          <w:rFonts w:ascii="Lato" w:hAnsi="Lato" w:cs="Arial"/>
          <w:color w:val="auto"/>
          <w:sz w:val="20"/>
          <w:szCs w:val="20"/>
        </w:rPr>
        <w:tab/>
      </w:r>
      <w:proofErr w:type="spellStart"/>
      <w:r w:rsidRPr="00C0396F">
        <w:rPr>
          <w:rFonts w:ascii="Lato" w:hAnsi="Lato" w:cs="Arial"/>
          <w:color w:val="auto"/>
          <w:sz w:val="20"/>
          <w:szCs w:val="20"/>
        </w:rPr>
        <w:t>Eurokod</w:t>
      </w:r>
      <w:proofErr w:type="spellEnd"/>
      <w:r w:rsidRPr="00C0396F">
        <w:rPr>
          <w:rFonts w:ascii="Lato" w:hAnsi="Lato" w:cs="Arial"/>
          <w:color w:val="auto"/>
          <w:sz w:val="20"/>
          <w:szCs w:val="20"/>
        </w:rPr>
        <w:t xml:space="preserve"> 1: Oddziaływania na konstrukcje – PN-EN 1991-1-4:2008/NA:2010 Część</w:t>
      </w:r>
      <w:r w:rsidR="00D52A61" w:rsidRPr="00C0396F">
        <w:rPr>
          <w:rFonts w:ascii="Lato" w:hAnsi="Lato" w:cs="Arial"/>
          <w:color w:val="auto"/>
          <w:sz w:val="20"/>
          <w:szCs w:val="20"/>
        </w:rPr>
        <w:t xml:space="preserve"> </w:t>
      </w:r>
      <w:r w:rsidRPr="00C0396F">
        <w:rPr>
          <w:rFonts w:ascii="Lato" w:hAnsi="Lato" w:cs="Arial"/>
          <w:color w:val="auto"/>
          <w:sz w:val="20"/>
          <w:szCs w:val="20"/>
        </w:rPr>
        <w:t>1-4: Oddziaływanie ogólne –</w:t>
      </w:r>
    </w:p>
    <w:p w14:paraId="588DAF44" w14:textId="2778C0A2" w:rsidR="007F0A6F" w:rsidRPr="00C0396F" w:rsidRDefault="00B259FF" w:rsidP="00D52A61">
      <w:pPr>
        <w:spacing w:after="30"/>
        <w:ind w:left="0" w:right="0" w:firstLine="682"/>
        <w:rPr>
          <w:rFonts w:ascii="Lato" w:hAnsi="Lato" w:cs="Arial"/>
          <w:color w:val="auto"/>
          <w:sz w:val="20"/>
          <w:szCs w:val="20"/>
        </w:rPr>
      </w:pPr>
      <w:r w:rsidRPr="00C0396F">
        <w:rPr>
          <w:rFonts w:ascii="Lato" w:hAnsi="Lato" w:cs="Arial"/>
          <w:color w:val="auto"/>
          <w:sz w:val="20"/>
          <w:szCs w:val="20"/>
        </w:rPr>
        <w:t xml:space="preserve">PN-EN 1991-1-4:2008/A1:2010 </w:t>
      </w:r>
      <w:r w:rsidR="00D52A61" w:rsidRPr="00C0396F">
        <w:rPr>
          <w:rFonts w:ascii="Lato" w:hAnsi="Lato" w:cs="Arial"/>
          <w:color w:val="auto"/>
          <w:sz w:val="20"/>
          <w:szCs w:val="20"/>
        </w:rPr>
        <w:t xml:space="preserve">      </w:t>
      </w:r>
      <w:r w:rsidRPr="00C0396F">
        <w:rPr>
          <w:rFonts w:ascii="Lato" w:hAnsi="Lato" w:cs="Arial"/>
          <w:color w:val="auto"/>
          <w:sz w:val="20"/>
          <w:szCs w:val="20"/>
        </w:rPr>
        <w:t>(oryg.) Oddziaływanie wiatru.</w:t>
      </w:r>
    </w:p>
    <w:p w14:paraId="4E89A556" w14:textId="77777777" w:rsidR="007F0A6F" w:rsidRPr="00C0396F" w:rsidRDefault="00B259FF" w:rsidP="00EF306B">
      <w:pPr>
        <w:spacing w:after="30"/>
        <w:ind w:left="692" w:right="0"/>
        <w:rPr>
          <w:rFonts w:ascii="Lato" w:hAnsi="Lato" w:cs="Arial"/>
          <w:color w:val="auto"/>
          <w:sz w:val="20"/>
          <w:szCs w:val="20"/>
          <w:lang w:val="en-US"/>
        </w:rPr>
      </w:pPr>
      <w:r w:rsidRPr="00C0396F">
        <w:rPr>
          <w:rFonts w:ascii="Lato" w:hAnsi="Lato" w:cs="Arial"/>
          <w:color w:val="auto"/>
          <w:sz w:val="20"/>
          <w:szCs w:val="20"/>
          <w:lang w:val="en-US"/>
        </w:rPr>
        <w:t xml:space="preserve">PN-EN 1991-1-4 :2008/AC:2009 </w:t>
      </w:r>
    </w:p>
    <w:p w14:paraId="1198A1B9" w14:textId="77777777" w:rsidR="007F0A6F" w:rsidRPr="00C0396F" w:rsidRDefault="00B259FF" w:rsidP="00EF306B">
      <w:pPr>
        <w:spacing w:after="30"/>
        <w:ind w:left="692" w:right="0"/>
        <w:rPr>
          <w:rFonts w:ascii="Lato" w:hAnsi="Lato" w:cs="Arial"/>
          <w:color w:val="auto"/>
          <w:sz w:val="20"/>
          <w:szCs w:val="20"/>
          <w:lang w:val="en-US"/>
        </w:rPr>
      </w:pPr>
      <w:r w:rsidRPr="00C0396F">
        <w:rPr>
          <w:rFonts w:ascii="Lato" w:hAnsi="Lato" w:cs="Arial"/>
          <w:color w:val="auto"/>
          <w:sz w:val="20"/>
          <w:szCs w:val="20"/>
          <w:lang w:val="en-US"/>
        </w:rPr>
        <w:t xml:space="preserve">PN-EN 1991-1-4 :2008/Ap1:2010 </w:t>
      </w:r>
    </w:p>
    <w:p w14:paraId="2780E2A4" w14:textId="77777777" w:rsidR="007F0A6F" w:rsidRPr="00C0396F" w:rsidRDefault="00B259FF" w:rsidP="00EF306B">
      <w:pPr>
        <w:spacing w:after="32"/>
        <w:ind w:left="692" w:right="0"/>
        <w:rPr>
          <w:rFonts w:ascii="Lato" w:hAnsi="Lato" w:cs="Arial"/>
          <w:color w:val="auto"/>
          <w:sz w:val="20"/>
          <w:szCs w:val="20"/>
        </w:rPr>
      </w:pPr>
      <w:r w:rsidRPr="00C0396F">
        <w:rPr>
          <w:rFonts w:ascii="Lato" w:hAnsi="Lato" w:cs="Arial"/>
          <w:color w:val="auto"/>
          <w:sz w:val="20"/>
          <w:szCs w:val="20"/>
        </w:rPr>
        <w:t>PN-EN 1991-1-4 :2008/Ap2:2010</w:t>
      </w:r>
    </w:p>
    <w:p w14:paraId="16837C68" w14:textId="77777777" w:rsidR="007F0A6F" w:rsidRPr="00C0396F" w:rsidRDefault="00B259FF" w:rsidP="00D52A61">
      <w:pPr>
        <w:spacing w:after="42" w:line="224" w:lineRule="auto"/>
        <w:ind w:left="3333" w:right="0" w:hanging="3333"/>
        <w:jc w:val="left"/>
        <w:rPr>
          <w:rFonts w:ascii="Lato" w:hAnsi="Lato" w:cs="Arial"/>
          <w:color w:val="auto"/>
          <w:sz w:val="20"/>
          <w:szCs w:val="20"/>
        </w:rPr>
      </w:pPr>
      <w:r w:rsidRPr="00C0396F">
        <w:rPr>
          <w:rFonts w:ascii="Lato" w:hAnsi="Lato" w:cs="Arial"/>
          <w:color w:val="auto"/>
          <w:sz w:val="20"/>
          <w:szCs w:val="20"/>
        </w:rPr>
        <w:t>49.PN-B-02151-3:1999</w:t>
      </w:r>
      <w:r w:rsidRPr="00C0396F">
        <w:rPr>
          <w:rFonts w:ascii="Lato" w:hAnsi="Lato" w:cs="Arial"/>
          <w:color w:val="auto"/>
          <w:sz w:val="20"/>
          <w:szCs w:val="20"/>
        </w:rPr>
        <w:tab/>
        <w:t>Akustyka budowlana – Ochrona przed hałasem pomieszczeń w budynkach – Izolacyjność</w:t>
      </w:r>
      <w:r w:rsidRPr="00C0396F">
        <w:rPr>
          <w:rFonts w:ascii="Lato" w:hAnsi="Lato" w:cs="Arial"/>
          <w:color w:val="auto"/>
          <w:sz w:val="20"/>
          <w:szCs w:val="20"/>
        </w:rPr>
        <w:tab/>
        <w:t xml:space="preserve"> akustyczna</w:t>
      </w:r>
      <w:r w:rsidRPr="00C0396F">
        <w:rPr>
          <w:rFonts w:ascii="Lato" w:hAnsi="Lato" w:cs="Arial"/>
          <w:color w:val="auto"/>
          <w:sz w:val="20"/>
          <w:szCs w:val="20"/>
        </w:rPr>
        <w:tab/>
        <w:t xml:space="preserve"> przegród</w:t>
      </w:r>
      <w:r w:rsidRPr="00C0396F">
        <w:rPr>
          <w:rFonts w:ascii="Lato" w:hAnsi="Lato" w:cs="Arial"/>
          <w:color w:val="auto"/>
          <w:sz w:val="20"/>
          <w:szCs w:val="20"/>
        </w:rPr>
        <w:tab/>
        <w:t xml:space="preserve"> w budynkach oraz izolacyjność akustyczna elementów budowlanych  – Wymagania.</w:t>
      </w:r>
    </w:p>
    <w:p w14:paraId="4D48588E" w14:textId="612D308A" w:rsidR="007F0A6F" w:rsidRPr="00C0396F" w:rsidRDefault="00B259FF" w:rsidP="00D52A61">
      <w:pPr>
        <w:spacing w:after="39"/>
        <w:ind w:left="6379" w:right="544" w:hanging="6379"/>
        <w:rPr>
          <w:rFonts w:ascii="Lato" w:hAnsi="Lato" w:cs="Arial"/>
          <w:color w:val="auto"/>
          <w:sz w:val="20"/>
          <w:szCs w:val="20"/>
        </w:rPr>
      </w:pPr>
      <w:r w:rsidRPr="00C0396F">
        <w:rPr>
          <w:rFonts w:ascii="Lato" w:hAnsi="Lato" w:cs="Arial"/>
          <w:color w:val="auto"/>
          <w:sz w:val="20"/>
          <w:szCs w:val="20"/>
        </w:rPr>
        <w:t xml:space="preserve">50.PN-B-05000:1996 </w:t>
      </w:r>
      <w:r w:rsidR="00D52A61" w:rsidRPr="00C0396F">
        <w:rPr>
          <w:rFonts w:ascii="Lato" w:hAnsi="Lato" w:cs="Arial"/>
          <w:color w:val="auto"/>
          <w:sz w:val="20"/>
          <w:szCs w:val="20"/>
        </w:rPr>
        <w:t xml:space="preserve">                                       </w:t>
      </w:r>
      <w:r w:rsidRPr="00C0396F">
        <w:rPr>
          <w:rFonts w:ascii="Lato" w:hAnsi="Lato" w:cs="Arial"/>
          <w:color w:val="auto"/>
          <w:sz w:val="20"/>
          <w:szCs w:val="20"/>
        </w:rPr>
        <w:t>Okna i drzwi – Pakowanie, przechowywanie i transport.</w:t>
      </w:r>
    </w:p>
    <w:p w14:paraId="6B7A10F5" w14:textId="77777777" w:rsidR="007F0A6F" w:rsidRPr="00C0396F" w:rsidRDefault="00B259FF" w:rsidP="00D52A61">
      <w:pPr>
        <w:spacing w:after="39"/>
        <w:ind w:left="3261" w:right="0" w:hanging="3260"/>
        <w:rPr>
          <w:rFonts w:ascii="Lato" w:hAnsi="Lato" w:cs="Arial"/>
          <w:color w:val="auto"/>
          <w:sz w:val="20"/>
          <w:szCs w:val="20"/>
        </w:rPr>
      </w:pPr>
      <w:r w:rsidRPr="00C0396F">
        <w:rPr>
          <w:rFonts w:ascii="Lato" w:hAnsi="Lato" w:cs="Arial"/>
          <w:color w:val="auto"/>
          <w:sz w:val="20"/>
          <w:szCs w:val="20"/>
        </w:rPr>
        <w:t>51.PN-B-10222:1998</w:t>
      </w:r>
      <w:r w:rsidRPr="00C0396F">
        <w:rPr>
          <w:rFonts w:ascii="Lato" w:hAnsi="Lato" w:cs="Arial"/>
          <w:color w:val="auto"/>
          <w:sz w:val="20"/>
          <w:szCs w:val="20"/>
        </w:rPr>
        <w:tab/>
        <w:t>Stolarka budowlana – Okna drewniane krosnowe do piwnic i poddaszy.</w:t>
      </w:r>
    </w:p>
    <w:p w14:paraId="49B63EE3" w14:textId="531C1C8E" w:rsidR="007F0A6F" w:rsidRPr="00C0396F" w:rsidRDefault="00B259FF" w:rsidP="00D52A61">
      <w:pPr>
        <w:tabs>
          <w:tab w:val="center" w:pos="1388"/>
        </w:tabs>
        <w:spacing w:after="30"/>
        <w:ind w:left="0" w:right="0" w:firstLine="0"/>
        <w:jc w:val="left"/>
        <w:rPr>
          <w:rFonts w:ascii="Lato" w:hAnsi="Lato" w:cs="Arial"/>
          <w:color w:val="auto"/>
          <w:sz w:val="20"/>
          <w:szCs w:val="20"/>
        </w:rPr>
      </w:pPr>
      <w:r w:rsidRPr="00C0396F">
        <w:rPr>
          <w:rFonts w:ascii="Lato" w:hAnsi="Lato" w:cs="Arial"/>
          <w:color w:val="auto"/>
          <w:sz w:val="20"/>
          <w:szCs w:val="20"/>
        </w:rPr>
        <w:t>52.PN-B-91000:1996</w:t>
      </w:r>
      <w:r w:rsidR="00D52A61" w:rsidRPr="00C0396F">
        <w:rPr>
          <w:rFonts w:ascii="Lato" w:hAnsi="Lato" w:cs="Arial"/>
          <w:color w:val="auto"/>
          <w:sz w:val="20"/>
          <w:szCs w:val="20"/>
        </w:rPr>
        <w:tab/>
      </w:r>
      <w:r w:rsidR="00D52A61" w:rsidRPr="00C0396F">
        <w:rPr>
          <w:rFonts w:ascii="Lato" w:hAnsi="Lato" w:cs="Arial"/>
          <w:color w:val="auto"/>
          <w:sz w:val="20"/>
          <w:szCs w:val="20"/>
        </w:rPr>
        <w:tab/>
        <w:t xml:space="preserve">         </w:t>
      </w:r>
      <w:r w:rsidRPr="00C0396F">
        <w:rPr>
          <w:rFonts w:ascii="Lato" w:hAnsi="Lato" w:cs="Arial"/>
          <w:color w:val="auto"/>
          <w:sz w:val="20"/>
          <w:szCs w:val="20"/>
        </w:rPr>
        <w:t>Stolarka budowlana – Okna i drzwi –</w:t>
      </w:r>
      <w:r w:rsidR="00D52A61" w:rsidRPr="00C0396F">
        <w:rPr>
          <w:rFonts w:ascii="Lato" w:hAnsi="Lato" w:cs="Arial"/>
          <w:color w:val="auto"/>
          <w:sz w:val="20"/>
          <w:szCs w:val="20"/>
        </w:rPr>
        <w:t xml:space="preserve"> </w:t>
      </w:r>
      <w:r w:rsidRPr="00C0396F">
        <w:rPr>
          <w:rFonts w:ascii="Lato" w:hAnsi="Lato" w:cs="Arial"/>
          <w:color w:val="auto"/>
          <w:sz w:val="20"/>
          <w:szCs w:val="20"/>
        </w:rPr>
        <w:t>Terminologia.</w:t>
      </w:r>
    </w:p>
    <w:sectPr w:rsidR="007F0A6F" w:rsidRPr="00C0396F" w:rsidSect="00EF306B">
      <w:headerReference w:type="default" r:id="rId8"/>
      <w:footerReference w:type="even" r:id="rId9"/>
      <w:footerReference w:type="default" r:id="rId10"/>
      <w:footerReference w:type="first" r:id="rId11"/>
      <w:pgSz w:w="11900" w:h="16840"/>
      <w:pgMar w:top="1207" w:right="1552" w:bottom="1202" w:left="1207" w:header="708" w:footer="527" w:gutter="0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85243BF" w14:textId="77777777" w:rsidR="006C379D" w:rsidRDefault="006C379D">
      <w:pPr>
        <w:spacing w:after="0" w:line="240" w:lineRule="auto"/>
      </w:pPr>
      <w:r>
        <w:separator/>
      </w:r>
    </w:p>
  </w:endnote>
  <w:endnote w:type="continuationSeparator" w:id="0">
    <w:p w14:paraId="57CD11E5" w14:textId="77777777" w:rsidR="006C379D" w:rsidRDefault="006C37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ato">
    <w:panose1 w:val="020F0502020204030203"/>
    <w:charset w:val="EE"/>
    <w:family w:val="swiss"/>
    <w:pitch w:val="variable"/>
    <w:sig w:usb0="800000AF" w:usb1="4000604A" w:usb2="00000000" w:usb3="00000000" w:csb0="00000093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35A2EE2" w14:textId="77777777" w:rsidR="007F0A6F" w:rsidRDefault="00B259FF">
    <w:pPr>
      <w:spacing w:after="0"/>
      <w:ind w:left="1848" w:right="283" w:hanging="595"/>
      <w:jc w:val="left"/>
    </w:pPr>
    <w:r>
      <w:rPr>
        <w:sz w:val="18"/>
      </w:rPr>
      <w:t xml:space="preserve">Specyfikacja została sporządzona w systemie                       na podstawie </w:t>
    </w:r>
    <w:proofErr w:type="spellStart"/>
    <w:r>
      <w:rPr>
        <w:sz w:val="18"/>
      </w:rPr>
      <w:t>standardowej</w:t>
    </w:r>
    <w:r>
      <w:rPr>
        <w:color w:val="004E92"/>
        <w:sz w:val="18"/>
      </w:rPr>
      <w:t>SEKO</w:t>
    </w:r>
    <w:r>
      <w:rPr>
        <w:color w:val="3399CC"/>
      </w:rPr>
      <w:t>spec</w:t>
    </w:r>
    <w:r>
      <w:rPr>
        <w:color w:val="004E92"/>
        <w:sz w:val="18"/>
      </w:rPr>
      <w:t>SEKO</w:t>
    </w:r>
    <w:r>
      <w:rPr>
        <w:color w:val="3399CC"/>
      </w:rPr>
      <w:t>spec</w:t>
    </w:r>
    <w:proofErr w:type="spellEnd"/>
    <w:r>
      <w:rPr>
        <w:color w:val="3399CC"/>
      </w:rPr>
      <w:t xml:space="preserve"> </w:t>
    </w:r>
    <w:r>
      <w:rPr>
        <w:sz w:val="18"/>
      </w:rPr>
      <w:t xml:space="preserve">specyfikacji technicznej opracowanej przez OWEOB Promocja Sp. z </w:t>
    </w:r>
    <w:proofErr w:type="spellStart"/>
    <w:r>
      <w:rPr>
        <w:sz w:val="18"/>
      </w:rPr>
      <w:t>o.o.OWEOB</w:t>
    </w:r>
    <w:proofErr w:type="spellEnd"/>
    <w:r>
      <w:rPr>
        <w:sz w:val="18"/>
      </w:rPr>
      <w:t xml:space="preserve"> Promocja Sp. z o.o. 2005</w:t>
    </w:r>
  </w:p>
  <w:p w14:paraId="25C57117" w14:textId="77777777" w:rsidR="007F0A6F" w:rsidRDefault="00B259FF">
    <w:pPr>
      <w:spacing w:after="0" w:line="259" w:lineRule="auto"/>
      <w:ind w:left="0" w:right="-114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sz w:val="18"/>
      </w:rPr>
      <w:t>1</w:t>
    </w:r>
    <w:r>
      <w:rPr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514D1D3" w14:textId="77777777" w:rsidR="007F0A6F" w:rsidRDefault="00B259FF">
    <w:pPr>
      <w:spacing w:after="0" w:line="259" w:lineRule="auto"/>
      <w:ind w:left="0" w:right="-114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sz w:val="18"/>
      </w:rPr>
      <w:t>1</w:t>
    </w:r>
    <w:r>
      <w:rPr>
        <w:sz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10B1B45" w14:textId="77777777" w:rsidR="007F0A6F" w:rsidRDefault="00B259FF">
    <w:pPr>
      <w:spacing w:after="0" w:line="259" w:lineRule="auto"/>
      <w:ind w:left="0" w:right="-114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sz w:val="18"/>
      </w:rPr>
      <w:t>1</w:t>
    </w:r>
    <w:r>
      <w:rPr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A24A6BD" w14:textId="77777777" w:rsidR="006C379D" w:rsidRDefault="006C379D">
      <w:pPr>
        <w:spacing w:after="0" w:line="240" w:lineRule="auto"/>
      </w:pPr>
      <w:r>
        <w:separator/>
      </w:r>
    </w:p>
  </w:footnote>
  <w:footnote w:type="continuationSeparator" w:id="0">
    <w:p w14:paraId="35250FD8" w14:textId="77777777" w:rsidR="006C379D" w:rsidRDefault="006C37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E8E7D7D" w14:textId="77777777" w:rsidR="00FB6E17" w:rsidRDefault="00FB6E17" w:rsidP="001C67F0">
    <w:pPr>
      <w:pStyle w:val="Nagwek"/>
      <w:ind w:left="0" w:firstLine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3462027"/>
    <w:multiLevelType w:val="hybridMultilevel"/>
    <w:tmpl w:val="5292FF74"/>
    <w:lvl w:ilvl="0" w:tplc="0415000F">
      <w:start w:val="1"/>
      <w:numFmt w:val="decimal"/>
      <w:lvlText w:val="%1."/>
      <w:lvlJc w:val="left"/>
      <w:pPr>
        <w:ind w:left="705" w:hanging="360"/>
      </w:pPr>
    </w:lvl>
    <w:lvl w:ilvl="1" w:tplc="04150019" w:tentative="1">
      <w:start w:val="1"/>
      <w:numFmt w:val="lowerLetter"/>
      <w:lvlText w:val="%2."/>
      <w:lvlJc w:val="left"/>
      <w:pPr>
        <w:ind w:left="1425" w:hanging="360"/>
      </w:pPr>
    </w:lvl>
    <w:lvl w:ilvl="2" w:tplc="0415001B" w:tentative="1">
      <w:start w:val="1"/>
      <w:numFmt w:val="lowerRoman"/>
      <w:lvlText w:val="%3."/>
      <w:lvlJc w:val="right"/>
      <w:pPr>
        <w:ind w:left="2145" w:hanging="180"/>
      </w:pPr>
    </w:lvl>
    <w:lvl w:ilvl="3" w:tplc="0415000F" w:tentative="1">
      <w:start w:val="1"/>
      <w:numFmt w:val="decimal"/>
      <w:lvlText w:val="%4."/>
      <w:lvlJc w:val="left"/>
      <w:pPr>
        <w:ind w:left="2865" w:hanging="360"/>
      </w:pPr>
    </w:lvl>
    <w:lvl w:ilvl="4" w:tplc="04150019" w:tentative="1">
      <w:start w:val="1"/>
      <w:numFmt w:val="lowerLetter"/>
      <w:lvlText w:val="%5."/>
      <w:lvlJc w:val="left"/>
      <w:pPr>
        <w:ind w:left="3585" w:hanging="360"/>
      </w:pPr>
    </w:lvl>
    <w:lvl w:ilvl="5" w:tplc="0415001B" w:tentative="1">
      <w:start w:val="1"/>
      <w:numFmt w:val="lowerRoman"/>
      <w:lvlText w:val="%6."/>
      <w:lvlJc w:val="right"/>
      <w:pPr>
        <w:ind w:left="4305" w:hanging="180"/>
      </w:pPr>
    </w:lvl>
    <w:lvl w:ilvl="6" w:tplc="0415000F" w:tentative="1">
      <w:start w:val="1"/>
      <w:numFmt w:val="decimal"/>
      <w:lvlText w:val="%7."/>
      <w:lvlJc w:val="left"/>
      <w:pPr>
        <w:ind w:left="5025" w:hanging="360"/>
      </w:pPr>
    </w:lvl>
    <w:lvl w:ilvl="7" w:tplc="04150019" w:tentative="1">
      <w:start w:val="1"/>
      <w:numFmt w:val="lowerLetter"/>
      <w:lvlText w:val="%8."/>
      <w:lvlJc w:val="left"/>
      <w:pPr>
        <w:ind w:left="5745" w:hanging="360"/>
      </w:pPr>
    </w:lvl>
    <w:lvl w:ilvl="8" w:tplc="0415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1" w15:restartNumberingAfterBreak="0">
    <w:nsid w:val="1EA31C1D"/>
    <w:multiLevelType w:val="multilevel"/>
    <w:tmpl w:val="CB423DBC"/>
    <w:lvl w:ilvl="0">
      <w:start w:val="6"/>
      <w:numFmt w:val="decimal"/>
      <w:lvlText w:val="%1."/>
      <w:lvlJc w:val="left"/>
      <w:pPr>
        <w:ind w:left="451"/>
      </w:pPr>
      <w:rPr>
        <w:rFonts w:ascii="Arial" w:eastAsia="Calibri" w:hAnsi="Arial" w:cs="Arial" w:hint="default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291"/>
      </w:pPr>
      <w:rPr>
        <w:rFonts w:ascii="Arial" w:eastAsia="Calibri" w:hAnsi="Arial" w:cs="Arial" w:hint="default"/>
        <w:b/>
        <w:bCs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28713432"/>
    <w:multiLevelType w:val="multilevel"/>
    <w:tmpl w:val="322078E8"/>
    <w:lvl w:ilvl="0">
      <w:start w:val="9"/>
      <w:numFmt w:val="decimal"/>
      <w:lvlText w:val="%1."/>
      <w:lvlJc w:val="left"/>
      <w:pPr>
        <w:ind w:left="451"/>
      </w:pPr>
      <w:rPr>
        <w:rFonts w:ascii="Arial" w:eastAsia="Calibri" w:hAnsi="Arial" w:cs="Arial" w:hint="default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291"/>
      </w:pPr>
      <w:rPr>
        <w:rFonts w:ascii="Arial" w:eastAsia="Calibri" w:hAnsi="Arial" w:cs="Arial" w:hint="default"/>
        <w:b/>
        <w:bCs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2BF75618"/>
    <w:multiLevelType w:val="hybridMultilevel"/>
    <w:tmpl w:val="2E4C7318"/>
    <w:lvl w:ilvl="0" w:tplc="E3E20D8A">
      <w:start w:val="1"/>
      <w:numFmt w:val="bullet"/>
      <w:lvlText w:val="•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C652E396">
      <w:start w:val="1"/>
      <w:numFmt w:val="bullet"/>
      <w:lvlText w:val="o"/>
      <w:lvlJc w:val="left"/>
      <w:pPr>
        <w:ind w:left="50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9746E360">
      <w:start w:val="1"/>
      <w:numFmt w:val="bullet"/>
      <w:lvlRestart w:val="0"/>
      <w:lvlText w:val="–"/>
      <w:lvlJc w:val="left"/>
      <w:pPr>
        <w:ind w:left="57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9E022AB2">
      <w:start w:val="1"/>
      <w:numFmt w:val="bullet"/>
      <w:lvlText w:val="•"/>
      <w:lvlJc w:val="left"/>
      <w:pPr>
        <w:ind w:left="136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AACB244">
      <w:start w:val="1"/>
      <w:numFmt w:val="bullet"/>
      <w:lvlText w:val="o"/>
      <w:lvlJc w:val="left"/>
      <w:pPr>
        <w:ind w:left="20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9D68CB4">
      <w:start w:val="1"/>
      <w:numFmt w:val="bullet"/>
      <w:lvlText w:val="▪"/>
      <w:lvlJc w:val="left"/>
      <w:pPr>
        <w:ind w:left="28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77AED53E">
      <w:start w:val="1"/>
      <w:numFmt w:val="bullet"/>
      <w:lvlText w:val="•"/>
      <w:lvlJc w:val="left"/>
      <w:pPr>
        <w:ind w:left="35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219EFA68">
      <w:start w:val="1"/>
      <w:numFmt w:val="bullet"/>
      <w:lvlText w:val="o"/>
      <w:lvlJc w:val="left"/>
      <w:pPr>
        <w:ind w:left="424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63C3362">
      <w:start w:val="1"/>
      <w:numFmt w:val="bullet"/>
      <w:lvlText w:val="▪"/>
      <w:lvlJc w:val="left"/>
      <w:pPr>
        <w:ind w:left="496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2E6D3FCF"/>
    <w:multiLevelType w:val="hybridMultilevel"/>
    <w:tmpl w:val="4B52FC8C"/>
    <w:lvl w:ilvl="0" w:tplc="5142A1AE">
      <w:start w:val="1"/>
      <w:numFmt w:val="lowerLetter"/>
      <w:lvlText w:val="%1)"/>
      <w:lvlJc w:val="left"/>
      <w:pPr>
        <w:ind w:left="2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D049C5E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46EED20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62A2771C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DDE2336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4B45476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A942D86A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4B4A2B0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E9BEC9C6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325B1264"/>
    <w:multiLevelType w:val="hybridMultilevel"/>
    <w:tmpl w:val="662873FA"/>
    <w:lvl w:ilvl="0" w:tplc="A54000D8">
      <w:start w:val="1"/>
      <w:numFmt w:val="bullet"/>
      <w:lvlText w:val="–"/>
      <w:lvlJc w:val="left"/>
      <w:pPr>
        <w:ind w:left="2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BF582578">
      <w:start w:val="1"/>
      <w:numFmt w:val="bullet"/>
      <w:lvlText w:val="o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E2BE1F10">
      <w:start w:val="1"/>
      <w:numFmt w:val="bullet"/>
      <w:lvlText w:val="▪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16262308">
      <w:start w:val="1"/>
      <w:numFmt w:val="bullet"/>
      <w:lvlText w:val="•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68F4D482">
      <w:start w:val="1"/>
      <w:numFmt w:val="bullet"/>
      <w:lvlText w:val="o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35D6AC0A">
      <w:start w:val="1"/>
      <w:numFmt w:val="bullet"/>
      <w:lvlText w:val="▪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78A01790">
      <w:start w:val="1"/>
      <w:numFmt w:val="bullet"/>
      <w:lvlText w:val="•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6A327FC4">
      <w:start w:val="1"/>
      <w:numFmt w:val="bullet"/>
      <w:lvlText w:val="o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F56A759A">
      <w:start w:val="1"/>
      <w:numFmt w:val="bullet"/>
      <w:lvlText w:val="▪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32A6404E"/>
    <w:multiLevelType w:val="hybridMultilevel"/>
    <w:tmpl w:val="57F0E574"/>
    <w:lvl w:ilvl="0" w:tplc="36EEAEE0">
      <w:start w:val="1"/>
      <w:numFmt w:val="bullet"/>
      <w:lvlText w:val="–"/>
      <w:lvlJc w:val="left"/>
      <w:pPr>
        <w:ind w:left="2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15C8DE8">
      <w:start w:val="1"/>
      <w:numFmt w:val="bullet"/>
      <w:lvlText w:val="o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14A826A">
      <w:start w:val="1"/>
      <w:numFmt w:val="bullet"/>
      <w:lvlText w:val="▪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C2412CC">
      <w:start w:val="1"/>
      <w:numFmt w:val="bullet"/>
      <w:lvlText w:val="•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FB2C3A8">
      <w:start w:val="1"/>
      <w:numFmt w:val="bullet"/>
      <w:lvlText w:val="o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1A2232A">
      <w:start w:val="1"/>
      <w:numFmt w:val="bullet"/>
      <w:lvlText w:val="▪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ABAFE68">
      <w:start w:val="1"/>
      <w:numFmt w:val="bullet"/>
      <w:lvlText w:val="•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7FF686E0">
      <w:start w:val="1"/>
      <w:numFmt w:val="bullet"/>
      <w:lvlText w:val="o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AE6BAF6">
      <w:start w:val="1"/>
      <w:numFmt w:val="bullet"/>
      <w:lvlText w:val="▪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33FE6669"/>
    <w:multiLevelType w:val="hybridMultilevel"/>
    <w:tmpl w:val="38E8AED6"/>
    <w:lvl w:ilvl="0" w:tplc="B5B6978C">
      <w:start w:val="1"/>
      <w:numFmt w:val="bullet"/>
      <w:lvlText w:val="–"/>
      <w:lvlJc w:val="left"/>
      <w:pPr>
        <w:ind w:left="2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4E3016EC">
      <w:start w:val="1"/>
      <w:numFmt w:val="bullet"/>
      <w:lvlText w:val="o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DBD89D34">
      <w:start w:val="1"/>
      <w:numFmt w:val="bullet"/>
      <w:lvlText w:val="▪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4EE293CE">
      <w:start w:val="1"/>
      <w:numFmt w:val="bullet"/>
      <w:lvlText w:val="•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BD2A6B38">
      <w:start w:val="1"/>
      <w:numFmt w:val="bullet"/>
      <w:lvlText w:val="o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A516AFEC">
      <w:start w:val="1"/>
      <w:numFmt w:val="bullet"/>
      <w:lvlText w:val="▪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8D381384">
      <w:start w:val="1"/>
      <w:numFmt w:val="bullet"/>
      <w:lvlText w:val="•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F8740986">
      <w:start w:val="1"/>
      <w:numFmt w:val="bullet"/>
      <w:lvlText w:val="o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D946CE64">
      <w:start w:val="1"/>
      <w:numFmt w:val="bullet"/>
      <w:lvlText w:val="▪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37CF31AE"/>
    <w:multiLevelType w:val="multilevel"/>
    <w:tmpl w:val="6B1EDEA0"/>
    <w:lvl w:ilvl="0">
      <w:start w:val="8"/>
      <w:numFmt w:val="decimal"/>
      <w:lvlText w:val="%1."/>
      <w:lvlJc w:val="left"/>
      <w:pPr>
        <w:ind w:left="451"/>
      </w:pPr>
      <w:rPr>
        <w:rFonts w:ascii="Arial" w:eastAsia="Calibri" w:hAnsi="Arial" w:cs="Arial" w:hint="default"/>
        <w:b/>
        <w:bCs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291"/>
      </w:pPr>
      <w:rPr>
        <w:rFonts w:ascii="Arial" w:eastAsia="Calibri" w:hAnsi="Arial" w:cs="Arial" w:hint="default"/>
        <w:b/>
        <w:bCs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Text w:val="%1.%2.%3."/>
      <w:lvlJc w:val="left"/>
      <w:pPr>
        <w:ind w:left="2294"/>
      </w:pPr>
      <w:rPr>
        <w:rFonts w:ascii="Arial" w:eastAsia="Calibri" w:hAnsi="Arial" w:cs="Arial" w:hint="default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3D7C0BE0"/>
    <w:multiLevelType w:val="hybridMultilevel"/>
    <w:tmpl w:val="F0163EB4"/>
    <w:lvl w:ilvl="0" w:tplc="E542D712">
      <w:start w:val="10"/>
      <w:numFmt w:val="decimal"/>
      <w:lvlText w:val="%1."/>
      <w:lvlJc w:val="left"/>
      <w:pPr>
        <w:ind w:left="451"/>
      </w:pPr>
      <w:rPr>
        <w:rFonts w:ascii="Arial" w:eastAsia="Calibri" w:hAnsi="Arial" w:cs="Arial" w:hint="default"/>
        <w:b/>
        <w:bCs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1" w:tplc="8E5E102C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3489E78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180C9EE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2A4AD478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9DEDF20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7D56E11C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08EB338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0B40E912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40F95AEF"/>
    <w:multiLevelType w:val="hybridMultilevel"/>
    <w:tmpl w:val="7F9015F0"/>
    <w:lvl w:ilvl="0" w:tplc="EFCC1798">
      <w:start w:val="1"/>
      <w:numFmt w:val="bullet"/>
      <w:lvlText w:val="•"/>
      <w:lvlJc w:val="left"/>
      <w:pPr>
        <w:ind w:left="2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6382F81A">
      <w:start w:val="1"/>
      <w:numFmt w:val="bullet"/>
      <w:lvlText w:val="o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C8981824">
      <w:start w:val="1"/>
      <w:numFmt w:val="bullet"/>
      <w:lvlText w:val="▪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9F3E8C64">
      <w:start w:val="1"/>
      <w:numFmt w:val="bullet"/>
      <w:lvlText w:val="•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72F6D80E">
      <w:start w:val="1"/>
      <w:numFmt w:val="bullet"/>
      <w:lvlText w:val="o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5484D022">
      <w:start w:val="1"/>
      <w:numFmt w:val="bullet"/>
      <w:lvlText w:val="▪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62EA3094">
      <w:start w:val="1"/>
      <w:numFmt w:val="bullet"/>
      <w:lvlText w:val="•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E32CA0B2">
      <w:start w:val="1"/>
      <w:numFmt w:val="bullet"/>
      <w:lvlText w:val="o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38A2187C">
      <w:start w:val="1"/>
      <w:numFmt w:val="bullet"/>
      <w:lvlText w:val="▪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457C743D"/>
    <w:multiLevelType w:val="multilevel"/>
    <w:tmpl w:val="2B9C555A"/>
    <w:lvl w:ilvl="0">
      <w:start w:val="2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2"/>
      <w:numFmt w:val="decimal"/>
      <w:lvlText w:val="%1.%2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Restart w:val="0"/>
      <w:lvlText w:val="%1.%2.%3."/>
      <w:lvlJc w:val="left"/>
      <w:pPr>
        <w:ind w:left="1574"/>
      </w:pPr>
      <w:rPr>
        <w:rFonts w:ascii="Lato" w:eastAsia="Calibri" w:hAnsi="Lato" w:cs="Arial" w:hint="default"/>
        <w:b w:val="0"/>
        <w:bCs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475D75C4"/>
    <w:multiLevelType w:val="multilevel"/>
    <w:tmpl w:val="6ABE7F38"/>
    <w:lvl w:ilvl="0">
      <w:start w:val="3"/>
      <w:numFmt w:val="decimal"/>
      <w:lvlText w:val="%1."/>
      <w:lvlJc w:val="left"/>
      <w:pPr>
        <w:ind w:left="451"/>
      </w:pPr>
      <w:rPr>
        <w:rFonts w:ascii="Arial" w:eastAsia="Calibri" w:hAnsi="Arial" w:cs="Arial" w:hint="default"/>
        <w:b/>
        <w:bCs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291"/>
      </w:pPr>
      <w:rPr>
        <w:rFonts w:ascii="Arial" w:eastAsia="Calibri" w:hAnsi="Arial" w:cs="Arial" w:hint="default"/>
        <w:b/>
        <w:bCs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49E815EF"/>
    <w:multiLevelType w:val="hybridMultilevel"/>
    <w:tmpl w:val="2C984610"/>
    <w:lvl w:ilvl="0" w:tplc="4FC82222">
      <w:start w:val="1"/>
      <w:numFmt w:val="bullet"/>
      <w:lvlText w:val="•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CC021A76">
      <w:start w:val="1"/>
      <w:numFmt w:val="bullet"/>
      <w:lvlText w:val="o"/>
      <w:lvlJc w:val="left"/>
      <w:pPr>
        <w:ind w:left="50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9A4F4E8">
      <w:start w:val="1"/>
      <w:numFmt w:val="bullet"/>
      <w:lvlRestart w:val="0"/>
      <w:lvlText w:val="–"/>
      <w:lvlJc w:val="left"/>
      <w:pPr>
        <w:ind w:left="57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88615AA">
      <w:start w:val="1"/>
      <w:numFmt w:val="bullet"/>
      <w:lvlText w:val="•"/>
      <w:lvlJc w:val="left"/>
      <w:pPr>
        <w:ind w:left="136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F06EFB2">
      <w:start w:val="1"/>
      <w:numFmt w:val="bullet"/>
      <w:lvlText w:val="o"/>
      <w:lvlJc w:val="left"/>
      <w:pPr>
        <w:ind w:left="20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1C63ED8">
      <w:start w:val="1"/>
      <w:numFmt w:val="bullet"/>
      <w:lvlText w:val="▪"/>
      <w:lvlJc w:val="left"/>
      <w:pPr>
        <w:ind w:left="28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CF6A7F8">
      <w:start w:val="1"/>
      <w:numFmt w:val="bullet"/>
      <w:lvlText w:val="•"/>
      <w:lvlJc w:val="left"/>
      <w:pPr>
        <w:ind w:left="35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705864E8">
      <w:start w:val="1"/>
      <w:numFmt w:val="bullet"/>
      <w:lvlText w:val="o"/>
      <w:lvlJc w:val="left"/>
      <w:pPr>
        <w:ind w:left="424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E800872">
      <w:start w:val="1"/>
      <w:numFmt w:val="bullet"/>
      <w:lvlText w:val="▪"/>
      <w:lvlJc w:val="left"/>
      <w:pPr>
        <w:ind w:left="496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4A585AC3"/>
    <w:multiLevelType w:val="hybridMultilevel"/>
    <w:tmpl w:val="5DE46BF2"/>
    <w:lvl w:ilvl="0" w:tplc="A8F2EDBE">
      <w:start w:val="1"/>
      <w:numFmt w:val="bullet"/>
      <w:lvlText w:val="–"/>
      <w:lvlJc w:val="left"/>
      <w:pPr>
        <w:ind w:left="4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3404D506">
      <w:start w:val="1"/>
      <w:numFmt w:val="bullet"/>
      <w:lvlText w:val="o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EF9839FC">
      <w:start w:val="1"/>
      <w:numFmt w:val="bullet"/>
      <w:lvlText w:val="▪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DC78A39C">
      <w:start w:val="1"/>
      <w:numFmt w:val="bullet"/>
      <w:lvlText w:val="•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383EF02C">
      <w:start w:val="1"/>
      <w:numFmt w:val="bullet"/>
      <w:lvlText w:val="o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81F4D36A">
      <w:start w:val="1"/>
      <w:numFmt w:val="bullet"/>
      <w:lvlText w:val="▪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33CA7EE">
      <w:start w:val="1"/>
      <w:numFmt w:val="bullet"/>
      <w:lvlText w:val="•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64CD3E2">
      <w:start w:val="1"/>
      <w:numFmt w:val="bullet"/>
      <w:lvlText w:val="o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0744274E">
      <w:start w:val="1"/>
      <w:numFmt w:val="bullet"/>
      <w:lvlText w:val="▪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55904A18"/>
    <w:multiLevelType w:val="hybridMultilevel"/>
    <w:tmpl w:val="A26C8880"/>
    <w:lvl w:ilvl="0" w:tplc="FC40E6DE">
      <w:start w:val="1"/>
      <w:numFmt w:val="lowerLetter"/>
      <w:lvlText w:val="%1)"/>
      <w:lvlJc w:val="left"/>
      <w:pPr>
        <w:ind w:left="2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78AAB484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9E582182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C761288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EF46B36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4F0D3D8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AF4189C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436CD36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4D38D45C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57A764E7"/>
    <w:multiLevelType w:val="hybridMultilevel"/>
    <w:tmpl w:val="65840CF0"/>
    <w:lvl w:ilvl="0" w:tplc="D3DE7056">
      <w:start w:val="1"/>
      <w:numFmt w:val="bullet"/>
      <w:lvlText w:val="–"/>
      <w:lvlJc w:val="left"/>
      <w:pPr>
        <w:ind w:left="4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59416FA">
      <w:start w:val="1"/>
      <w:numFmt w:val="bullet"/>
      <w:lvlText w:val="o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B9BCFAEC">
      <w:start w:val="1"/>
      <w:numFmt w:val="bullet"/>
      <w:lvlText w:val="▪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694370A">
      <w:start w:val="1"/>
      <w:numFmt w:val="bullet"/>
      <w:lvlText w:val="•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DB89878">
      <w:start w:val="1"/>
      <w:numFmt w:val="bullet"/>
      <w:lvlText w:val="o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B007A96">
      <w:start w:val="1"/>
      <w:numFmt w:val="bullet"/>
      <w:lvlText w:val="▪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CA27652">
      <w:start w:val="1"/>
      <w:numFmt w:val="bullet"/>
      <w:lvlText w:val="•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B0E6880">
      <w:start w:val="1"/>
      <w:numFmt w:val="bullet"/>
      <w:lvlText w:val="o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8C643AB4">
      <w:start w:val="1"/>
      <w:numFmt w:val="bullet"/>
      <w:lvlText w:val="▪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588B1F1B"/>
    <w:multiLevelType w:val="multilevel"/>
    <w:tmpl w:val="C29EAB36"/>
    <w:lvl w:ilvl="0">
      <w:start w:val="4"/>
      <w:numFmt w:val="decimal"/>
      <w:lvlText w:val="%1."/>
      <w:lvlJc w:val="left"/>
      <w:pPr>
        <w:ind w:left="451"/>
      </w:pPr>
      <w:rPr>
        <w:rFonts w:ascii="Arial" w:eastAsia="Calibri" w:hAnsi="Arial" w:cs="Arial" w:hint="default"/>
        <w:b/>
        <w:bCs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291"/>
      </w:pPr>
      <w:rPr>
        <w:rFonts w:ascii="Arial" w:eastAsia="Calibri" w:hAnsi="Arial" w:cs="Arial" w:hint="default"/>
        <w:b/>
        <w:bCs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59531922"/>
    <w:multiLevelType w:val="hybridMultilevel"/>
    <w:tmpl w:val="F99431EC"/>
    <w:lvl w:ilvl="0" w:tplc="ACC23A4E">
      <w:start w:val="1"/>
      <w:numFmt w:val="decimal"/>
      <w:lvlText w:val="%1."/>
      <w:lvlJc w:val="left"/>
      <w:pPr>
        <w:ind w:left="370"/>
      </w:pPr>
      <w:rPr>
        <w:rFonts w:ascii="Lato" w:eastAsia="Calibri" w:hAnsi="Lato" w:cs="Arial" w:hint="default"/>
        <w:b w:val="0"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9165D30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52D2BB60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FEA5BB8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A9E219C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A84BADC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4B42FD6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66AD03A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2046378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597B1DFD"/>
    <w:multiLevelType w:val="multilevel"/>
    <w:tmpl w:val="649ACCCE"/>
    <w:lvl w:ilvl="0">
      <w:start w:val="5"/>
      <w:numFmt w:val="decimal"/>
      <w:lvlText w:val="%1."/>
      <w:lvlJc w:val="left"/>
      <w:pPr>
        <w:ind w:left="451"/>
      </w:pPr>
      <w:rPr>
        <w:rFonts w:ascii="Arial" w:eastAsia="Calibri" w:hAnsi="Arial" w:cs="Arial" w:hint="default"/>
        <w:b/>
        <w:bCs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291"/>
      </w:pPr>
      <w:rPr>
        <w:rFonts w:ascii="Arial" w:eastAsia="Calibri" w:hAnsi="Arial" w:cs="Arial" w:hint="default"/>
        <w:b/>
        <w:bCs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5A8D0A1A"/>
    <w:multiLevelType w:val="hybridMultilevel"/>
    <w:tmpl w:val="6ABA02F2"/>
    <w:lvl w:ilvl="0" w:tplc="521C659C">
      <w:start w:val="1"/>
      <w:numFmt w:val="bullet"/>
      <w:lvlText w:val="–"/>
      <w:lvlJc w:val="left"/>
      <w:pPr>
        <w:ind w:left="4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84ED788">
      <w:start w:val="1"/>
      <w:numFmt w:val="bullet"/>
      <w:lvlText w:val="o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F0EFA6C">
      <w:start w:val="1"/>
      <w:numFmt w:val="bullet"/>
      <w:lvlText w:val="▪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859ACBFA">
      <w:start w:val="1"/>
      <w:numFmt w:val="bullet"/>
      <w:lvlText w:val="•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E7F05E6E">
      <w:start w:val="1"/>
      <w:numFmt w:val="bullet"/>
      <w:lvlText w:val="o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4EA413C">
      <w:start w:val="1"/>
      <w:numFmt w:val="bullet"/>
      <w:lvlText w:val="▪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6C4D824">
      <w:start w:val="1"/>
      <w:numFmt w:val="bullet"/>
      <w:lvlText w:val="•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8558FE04">
      <w:start w:val="1"/>
      <w:numFmt w:val="bullet"/>
      <w:lvlText w:val="o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F74A7BE">
      <w:start w:val="1"/>
      <w:numFmt w:val="bullet"/>
      <w:lvlText w:val="▪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5D612B54"/>
    <w:multiLevelType w:val="multilevel"/>
    <w:tmpl w:val="4D4608A0"/>
    <w:lvl w:ilvl="0">
      <w:start w:val="7"/>
      <w:numFmt w:val="decimal"/>
      <w:lvlText w:val="%1."/>
      <w:lvlJc w:val="left"/>
      <w:pPr>
        <w:ind w:left="451"/>
      </w:pPr>
      <w:rPr>
        <w:rFonts w:ascii="Arial" w:eastAsia="Calibri" w:hAnsi="Arial" w:cs="Arial" w:hint="default"/>
        <w:b/>
        <w:bCs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291"/>
      </w:pPr>
      <w:rPr>
        <w:rFonts w:ascii="Arial" w:eastAsia="Calibri" w:hAnsi="Arial" w:cs="Arial" w:hint="default"/>
        <w:b/>
        <w:bCs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639E67C6"/>
    <w:multiLevelType w:val="multilevel"/>
    <w:tmpl w:val="DED29F2E"/>
    <w:lvl w:ilvl="0">
      <w:start w:val="1"/>
      <w:numFmt w:val="decimal"/>
      <w:lvlText w:val="%1."/>
      <w:lvlJc w:val="left"/>
      <w:pPr>
        <w:ind w:left="451"/>
      </w:pPr>
      <w:rPr>
        <w:rFonts w:ascii="Arial" w:eastAsia="Calibri" w:hAnsi="Arial" w:cs="Arial" w:hint="default"/>
        <w:b/>
        <w:bCs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291"/>
      </w:pPr>
      <w:rPr>
        <w:rFonts w:ascii="Arial" w:eastAsia="Calibri" w:hAnsi="Arial" w:cs="Arial" w:hint="default"/>
        <w:b/>
        <w:bCs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67F732CB"/>
    <w:multiLevelType w:val="hybridMultilevel"/>
    <w:tmpl w:val="A95E2FB4"/>
    <w:lvl w:ilvl="0" w:tplc="92FA2778">
      <w:start w:val="1"/>
      <w:numFmt w:val="bullet"/>
      <w:lvlText w:val="–"/>
      <w:lvlJc w:val="left"/>
      <w:pPr>
        <w:ind w:left="4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CD09B04">
      <w:start w:val="1"/>
      <w:numFmt w:val="bullet"/>
      <w:lvlText w:val="o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D2C023E">
      <w:start w:val="1"/>
      <w:numFmt w:val="bullet"/>
      <w:lvlText w:val="▪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625C01A8">
      <w:start w:val="1"/>
      <w:numFmt w:val="bullet"/>
      <w:lvlText w:val="•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1F8BDF8">
      <w:start w:val="1"/>
      <w:numFmt w:val="bullet"/>
      <w:lvlText w:val="o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8B40AFC6">
      <w:start w:val="1"/>
      <w:numFmt w:val="bullet"/>
      <w:lvlText w:val="▪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D6400110">
      <w:start w:val="1"/>
      <w:numFmt w:val="bullet"/>
      <w:lvlText w:val="•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0320C46">
      <w:start w:val="1"/>
      <w:numFmt w:val="bullet"/>
      <w:lvlText w:val="o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68E8684">
      <w:start w:val="1"/>
      <w:numFmt w:val="bullet"/>
      <w:lvlText w:val="▪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 w15:restartNumberingAfterBreak="0">
    <w:nsid w:val="6A0E6A3B"/>
    <w:multiLevelType w:val="hybridMultilevel"/>
    <w:tmpl w:val="7354E078"/>
    <w:lvl w:ilvl="0" w:tplc="DEF03D7C">
      <w:start w:val="2"/>
      <w:numFmt w:val="lowerLetter"/>
      <w:lvlText w:val="%1)"/>
      <w:lvlJc w:val="left"/>
      <w:pPr>
        <w:ind w:left="2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EFE74DE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E1C60FC4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2D67FEE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2E78FDC6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27149A3E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A34AC4CA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006EF7EC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EF62E1E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 w15:restartNumberingAfterBreak="0">
    <w:nsid w:val="6C8504F3"/>
    <w:multiLevelType w:val="hybridMultilevel"/>
    <w:tmpl w:val="16B6BF60"/>
    <w:lvl w:ilvl="0" w:tplc="75DAADE8">
      <w:start w:val="1"/>
      <w:numFmt w:val="bullet"/>
      <w:lvlText w:val="–"/>
      <w:lvlJc w:val="left"/>
      <w:pPr>
        <w:ind w:left="2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2A741B2E">
      <w:start w:val="1"/>
      <w:numFmt w:val="bullet"/>
      <w:lvlText w:val="o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0B202844">
      <w:start w:val="1"/>
      <w:numFmt w:val="bullet"/>
      <w:lvlText w:val="▪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0812030E">
      <w:start w:val="1"/>
      <w:numFmt w:val="bullet"/>
      <w:lvlText w:val="•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94F88AD0">
      <w:start w:val="1"/>
      <w:numFmt w:val="bullet"/>
      <w:lvlText w:val="o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C09A8D7A">
      <w:start w:val="1"/>
      <w:numFmt w:val="bullet"/>
      <w:lvlText w:val="▪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18AE281C">
      <w:start w:val="1"/>
      <w:numFmt w:val="bullet"/>
      <w:lvlText w:val="•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391A1808">
      <w:start w:val="1"/>
      <w:numFmt w:val="bullet"/>
      <w:lvlText w:val="o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2CA05226">
      <w:start w:val="1"/>
      <w:numFmt w:val="bullet"/>
      <w:lvlText w:val="▪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 w15:restartNumberingAfterBreak="0">
    <w:nsid w:val="7AE62467"/>
    <w:multiLevelType w:val="hybridMultilevel"/>
    <w:tmpl w:val="A7DC2DE8"/>
    <w:lvl w:ilvl="0" w:tplc="8390C832">
      <w:start w:val="2"/>
      <w:numFmt w:val="decimal"/>
      <w:lvlText w:val="%1."/>
      <w:lvlJc w:val="left"/>
      <w:pPr>
        <w:ind w:left="451"/>
      </w:pPr>
      <w:rPr>
        <w:rFonts w:ascii="Arial" w:eastAsia="Calibri" w:hAnsi="Arial" w:cs="Arial" w:hint="default"/>
        <w:b/>
        <w:bCs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1" w:tplc="90441748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84869E2A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1A87348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1D40410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2CC4EB56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A66EBEE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82238A6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B1CA636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486050707">
    <w:abstractNumId w:val="18"/>
  </w:num>
  <w:num w:numId="2" w16cid:durableId="338048335">
    <w:abstractNumId w:val="22"/>
  </w:num>
  <w:num w:numId="3" w16cid:durableId="1802724396">
    <w:abstractNumId w:val="7"/>
  </w:num>
  <w:num w:numId="4" w16cid:durableId="1266377918">
    <w:abstractNumId w:val="26"/>
  </w:num>
  <w:num w:numId="5" w16cid:durableId="589198792">
    <w:abstractNumId w:val="25"/>
  </w:num>
  <w:num w:numId="6" w16cid:durableId="172577750">
    <w:abstractNumId w:val="11"/>
  </w:num>
  <w:num w:numId="7" w16cid:durableId="1736005172">
    <w:abstractNumId w:val="10"/>
  </w:num>
  <w:num w:numId="8" w16cid:durableId="1947426998">
    <w:abstractNumId w:val="3"/>
  </w:num>
  <w:num w:numId="9" w16cid:durableId="135689520">
    <w:abstractNumId w:val="13"/>
  </w:num>
  <w:num w:numId="10" w16cid:durableId="958296780">
    <w:abstractNumId w:val="5"/>
  </w:num>
  <w:num w:numId="11" w16cid:durableId="655644933">
    <w:abstractNumId w:val="12"/>
  </w:num>
  <w:num w:numId="12" w16cid:durableId="1165778980">
    <w:abstractNumId w:val="15"/>
  </w:num>
  <w:num w:numId="13" w16cid:durableId="956716814">
    <w:abstractNumId w:val="17"/>
  </w:num>
  <w:num w:numId="14" w16cid:durableId="1714765659">
    <w:abstractNumId w:val="24"/>
  </w:num>
  <w:num w:numId="15" w16cid:durableId="1533760671">
    <w:abstractNumId w:val="19"/>
  </w:num>
  <w:num w:numId="16" w16cid:durableId="2058313733">
    <w:abstractNumId w:val="23"/>
  </w:num>
  <w:num w:numId="17" w16cid:durableId="1518302162">
    <w:abstractNumId w:val="20"/>
  </w:num>
  <w:num w:numId="18" w16cid:durableId="1231036781">
    <w:abstractNumId w:val="14"/>
  </w:num>
  <w:num w:numId="19" w16cid:durableId="1980986741">
    <w:abstractNumId w:val="1"/>
  </w:num>
  <w:num w:numId="20" w16cid:durableId="380174430">
    <w:abstractNumId w:val="16"/>
  </w:num>
  <w:num w:numId="21" w16cid:durableId="769546365">
    <w:abstractNumId w:val="4"/>
  </w:num>
  <w:num w:numId="22" w16cid:durableId="1332564825">
    <w:abstractNumId w:val="21"/>
  </w:num>
  <w:num w:numId="23" w16cid:durableId="51851542">
    <w:abstractNumId w:val="8"/>
  </w:num>
  <w:num w:numId="24" w16cid:durableId="1979920322">
    <w:abstractNumId w:val="2"/>
  </w:num>
  <w:num w:numId="25" w16cid:durableId="892695419">
    <w:abstractNumId w:val="6"/>
  </w:num>
  <w:num w:numId="26" w16cid:durableId="2041584480">
    <w:abstractNumId w:val="9"/>
  </w:num>
  <w:num w:numId="27" w16cid:durableId="20594335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7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F0A6F"/>
    <w:rsid w:val="00097FC6"/>
    <w:rsid w:val="000A0C04"/>
    <w:rsid w:val="00132015"/>
    <w:rsid w:val="00136D95"/>
    <w:rsid w:val="00193533"/>
    <w:rsid w:val="001C67F0"/>
    <w:rsid w:val="001D3FD5"/>
    <w:rsid w:val="001F2B07"/>
    <w:rsid w:val="00314D64"/>
    <w:rsid w:val="003F4AD2"/>
    <w:rsid w:val="004138D3"/>
    <w:rsid w:val="0042173D"/>
    <w:rsid w:val="00433F42"/>
    <w:rsid w:val="004452B9"/>
    <w:rsid w:val="004830F9"/>
    <w:rsid w:val="004F19A8"/>
    <w:rsid w:val="004F76A9"/>
    <w:rsid w:val="005711BC"/>
    <w:rsid w:val="0057252B"/>
    <w:rsid w:val="0058603C"/>
    <w:rsid w:val="00600DF3"/>
    <w:rsid w:val="006C379D"/>
    <w:rsid w:val="006F497F"/>
    <w:rsid w:val="0074506A"/>
    <w:rsid w:val="007B066C"/>
    <w:rsid w:val="007F0A6F"/>
    <w:rsid w:val="00811269"/>
    <w:rsid w:val="008811AB"/>
    <w:rsid w:val="00922BBE"/>
    <w:rsid w:val="00986A11"/>
    <w:rsid w:val="00AA06AD"/>
    <w:rsid w:val="00B259FF"/>
    <w:rsid w:val="00BD7F8E"/>
    <w:rsid w:val="00C02E16"/>
    <w:rsid w:val="00C0396F"/>
    <w:rsid w:val="00C37089"/>
    <w:rsid w:val="00C959E3"/>
    <w:rsid w:val="00CD46B1"/>
    <w:rsid w:val="00CE6EC9"/>
    <w:rsid w:val="00D00A58"/>
    <w:rsid w:val="00D52A61"/>
    <w:rsid w:val="00DD6A0C"/>
    <w:rsid w:val="00DF34D6"/>
    <w:rsid w:val="00E63C37"/>
    <w:rsid w:val="00E9311F"/>
    <w:rsid w:val="00EA384F"/>
    <w:rsid w:val="00ED7344"/>
    <w:rsid w:val="00EF306B"/>
    <w:rsid w:val="00F1180A"/>
    <w:rsid w:val="00F13F88"/>
    <w:rsid w:val="00F54CC2"/>
    <w:rsid w:val="00F57FF1"/>
    <w:rsid w:val="00F90AAE"/>
    <w:rsid w:val="00FA5DC0"/>
    <w:rsid w:val="00FB6E17"/>
    <w:rsid w:val="00FC4B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7DBFF1"/>
  <w15:docId w15:val="{4883F7D0-7F95-489E-BFAA-A62857E822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3" w:line="226" w:lineRule="auto"/>
      <w:ind w:left="10" w:right="64" w:hanging="10"/>
      <w:jc w:val="both"/>
    </w:pPr>
    <w:rPr>
      <w:rFonts w:ascii="Calibri" w:eastAsia="Calibri" w:hAnsi="Calibri" w:cs="Calibri"/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FB6E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B6E17"/>
    <w:rPr>
      <w:rFonts w:ascii="Calibri" w:eastAsia="Calibri" w:hAnsi="Calibri" w:cs="Calibri"/>
      <w:color w:val="000000"/>
    </w:rPr>
  </w:style>
  <w:style w:type="paragraph" w:styleId="Akapitzlist">
    <w:name w:val="List Paragraph"/>
    <w:basedOn w:val="Normalny"/>
    <w:uiPriority w:val="34"/>
    <w:qFormat/>
    <w:rsid w:val="00FB6E1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5424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58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A69B0B-7F3D-4CB7-B28A-948BA39E21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15</Pages>
  <Words>6802</Words>
  <Characters>40815</Characters>
  <Application>Microsoft Office Word</Application>
  <DocSecurity>0</DocSecurity>
  <Lines>340</Lines>
  <Paragraphs>95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Specyfikacje techniczne</vt:lpstr>
    </vt:vector>
  </TitlesOfParts>
  <Company/>
  <LinksUpToDate>false</LinksUpToDate>
  <CharactersWithSpaces>47522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Specyfikacje techniczne</dc:title>
  <dc:subject/>
  <dc:creator>ewa</dc:creator>
  <cp:keywords/>
  <cp:lastModifiedBy>Paweł Grzybek</cp:lastModifiedBy>
  <cp:revision>33</cp:revision>
  <cp:lastPrinted>2022-07-22T08:57:00Z</cp:lastPrinted>
  <dcterms:created xsi:type="dcterms:W3CDTF">2022-05-27T13:13:00Z</dcterms:created>
  <dcterms:modified xsi:type="dcterms:W3CDTF">2024-10-10T11:09:00Z</dcterms:modified>
</cp:coreProperties>
</file>